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997" w:rsidRPr="00676B62" w:rsidRDefault="00584F75" w:rsidP="00676B62">
      <w:pPr>
        <w:spacing w:after="24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ANNESS</w:t>
      </w:r>
    </w:p>
    <w:p w:rsidR="00E73997" w:rsidRPr="00E73997" w:rsidRDefault="00E73997" w:rsidP="00E73997">
      <w:pPr>
        <w:spacing w:after="24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Servizzi ta’ Interess Ekonomiku Ġenerali (Services of General Economic Interest, SGEIs): gwida għar-rapport li għandu jiġi ppreżentat wara d-Deċiżjoni dwar l-SGEIs tal-2012 u l-Qafas tal-SGEIs tal-2012</w:t>
      </w:r>
    </w:p>
    <w:p w:rsidR="009428CD" w:rsidRDefault="009428CD" w:rsidP="00E73997">
      <w:pPr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L-obbligi ta’ rapportar</w:t>
      </w:r>
      <w:r>
        <w:rPr>
          <w:rFonts w:ascii="Times New Roman" w:hAnsi="Times New Roman"/>
          <w:sz w:val="24"/>
          <w:szCs w:val="20"/>
        </w:rPr>
        <w:t xml:space="preserve"> huma stabbiliti fl-Artikolu 9 tad-Deċiżjoni dwar l-SGEIs tal-2012:</w:t>
      </w:r>
    </w:p>
    <w:p w:rsidR="00E73997" w:rsidRPr="00E73997" w:rsidRDefault="00E73997" w:rsidP="00E73997">
      <w:pPr>
        <w:spacing w:after="240" w:line="240" w:lineRule="auto"/>
        <w:ind w:left="720"/>
        <w:jc w:val="both"/>
        <w:rPr>
          <w:rFonts w:ascii="Times New Roman" w:eastAsia="Times New Roman" w:hAnsi="Times New Roman"/>
          <w:i/>
          <w:sz w:val="24"/>
          <w:szCs w:val="20"/>
        </w:rPr>
      </w:pPr>
      <w:r>
        <w:rPr>
          <w:rFonts w:ascii="Times New Roman" w:hAnsi="Times New Roman"/>
          <w:i/>
          <w:sz w:val="24"/>
          <w:szCs w:val="20"/>
        </w:rPr>
        <w:t>Kull Stat Membru għandu kull sentejn jippreżenta lill-Kummissjoni rapport dwar l-implimentazzjoni ta’ din id-Deċiżjoni. Ir-rapporti għandhom jipprovdu deskrizzjoni dettaljata tal-applikazzjoni tad-Deċiżjoni għad-diversi kategoriji ta’ servizzi msemmija fl-Artikolu 2(1), inklużi:</w:t>
      </w:r>
    </w:p>
    <w:p w:rsidR="00E73997" w:rsidRPr="00E73997" w:rsidRDefault="00E73997" w:rsidP="00E73997">
      <w:pPr>
        <w:spacing w:after="240" w:line="240" w:lineRule="auto"/>
        <w:ind w:left="720"/>
        <w:jc w:val="both"/>
        <w:rPr>
          <w:rFonts w:ascii="Times New Roman" w:eastAsia="Times New Roman" w:hAnsi="Times New Roman"/>
          <w:i/>
          <w:sz w:val="24"/>
          <w:szCs w:val="20"/>
        </w:rPr>
      </w:pPr>
      <w:r>
        <w:rPr>
          <w:rFonts w:ascii="Times New Roman" w:hAnsi="Times New Roman"/>
          <w:i/>
          <w:sz w:val="24"/>
          <w:szCs w:val="20"/>
        </w:rPr>
        <w:t>(a) deskrizzjoni tal-applikazzjoni ta’ din id-Deċiżjoni għas-servizzi li jaqgħu fil-kamp ta’ applikazzjoni tagħha, inklużi attivitajiet interni;</w:t>
      </w:r>
    </w:p>
    <w:p w:rsidR="00E73997" w:rsidRPr="00E73997" w:rsidRDefault="00E73997" w:rsidP="00E73997">
      <w:pPr>
        <w:spacing w:after="240" w:line="240" w:lineRule="auto"/>
        <w:ind w:left="720"/>
        <w:jc w:val="both"/>
        <w:rPr>
          <w:rFonts w:ascii="Times New Roman" w:eastAsia="Times New Roman" w:hAnsi="Times New Roman"/>
          <w:i/>
          <w:sz w:val="24"/>
          <w:szCs w:val="20"/>
        </w:rPr>
      </w:pPr>
      <w:r>
        <w:rPr>
          <w:rFonts w:ascii="Times New Roman" w:hAnsi="Times New Roman"/>
          <w:i/>
          <w:sz w:val="24"/>
          <w:szCs w:val="20"/>
        </w:rPr>
        <w:t>(b) l-ammont totali ta’ għajnuna mogħtija b’konformità ma’ din id-Deċiżjoni bi tqassim skont is-settur ekonomiku tal-benefiċjarji;</w:t>
      </w:r>
    </w:p>
    <w:p w:rsidR="00E73997" w:rsidRPr="00E73997" w:rsidRDefault="00E73997" w:rsidP="00E73997">
      <w:pPr>
        <w:spacing w:after="240" w:line="240" w:lineRule="auto"/>
        <w:ind w:left="720"/>
        <w:jc w:val="both"/>
        <w:rPr>
          <w:rFonts w:ascii="Times New Roman" w:eastAsia="Times New Roman" w:hAnsi="Times New Roman"/>
          <w:i/>
          <w:sz w:val="24"/>
          <w:szCs w:val="20"/>
        </w:rPr>
      </w:pPr>
      <w:r>
        <w:rPr>
          <w:rFonts w:ascii="Times New Roman" w:hAnsi="Times New Roman"/>
          <w:i/>
          <w:sz w:val="24"/>
          <w:szCs w:val="20"/>
        </w:rPr>
        <w:t>(c) indikazzjoni ta’ jekk, għal tip partikolari ta’ servizz, l-applikazzjoni ta’ din id-Deċiżjoni tatx lok għal diffikultajiet jew ilmenti minn partijiet terzi; kif ukoll</w:t>
      </w:r>
    </w:p>
    <w:p w:rsidR="00E73997" w:rsidRPr="00E73997" w:rsidRDefault="00E73997" w:rsidP="00E73997">
      <w:pPr>
        <w:spacing w:after="240" w:line="240" w:lineRule="auto"/>
        <w:ind w:left="720"/>
        <w:jc w:val="both"/>
        <w:rPr>
          <w:rFonts w:ascii="Times New Roman" w:eastAsia="Times New Roman" w:hAnsi="Times New Roman"/>
          <w:i/>
          <w:sz w:val="24"/>
          <w:szCs w:val="20"/>
        </w:rPr>
      </w:pPr>
      <w:r>
        <w:rPr>
          <w:rFonts w:ascii="Times New Roman" w:hAnsi="Times New Roman"/>
          <w:i/>
          <w:sz w:val="24"/>
          <w:szCs w:val="20"/>
        </w:rPr>
        <w:t>(d) kwalunkwe informazzjoni oħra mitluba mill-Kummissjoni rigward l-applikazzjoni tad-Deċiżjoni u li trid tiġi speċifikata fil-ħin qabel jiġi ppreżentat ir-rapport.</w:t>
      </w: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Fil-prinċipju, il-paragrafu 62 tal-Qafas tal-SGEIs tal-2012 jistabbilixxi obbligi identiċi ta’ rapportar għal għajnuna mogħtija skont il-Qafas tal-SGEIs tal-2012.</w:t>
      </w: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u w:val="single"/>
        </w:rPr>
      </w:pPr>
      <w:r>
        <w:rPr>
          <w:rFonts w:ascii="Times New Roman" w:hAnsi="Times New Roman"/>
          <w:sz w:val="24"/>
          <w:szCs w:val="20"/>
          <w:u w:val="single"/>
        </w:rPr>
        <w:t xml:space="preserve">Ġentilment nitolbuk tfassal ir-rapport tiegħek skont dan li ġej: </w:t>
      </w:r>
    </w:p>
    <w:p w:rsidR="00E73997" w:rsidRPr="00E73997" w:rsidRDefault="00E73997" w:rsidP="00A64C2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>Ħarsa ġenerali tan-nefqa</w:t>
      </w:r>
    </w:p>
    <w:p w:rsidR="00E73997" w:rsidRPr="00E73997" w:rsidRDefault="00E73997" w:rsidP="00E73997">
      <w:pPr>
        <w:spacing w:after="0" w:line="240" w:lineRule="auto"/>
        <w:ind w:left="360"/>
        <w:rPr>
          <w:rFonts w:ascii="Times New Roman" w:eastAsia="Times New Roman" w:hAnsi="Times New Roman"/>
          <w:b/>
          <w:smallCaps/>
          <w:sz w:val="24"/>
          <w:szCs w:val="20"/>
        </w:rPr>
      </w:pP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Ġentilment nitolbuk timla t-tabella li ġejja:</w:t>
      </w:r>
    </w:p>
    <w:tbl>
      <w:tblPr>
        <w:tblW w:w="8402" w:type="dxa"/>
        <w:tblInd w:w="93" w:type="dxa"/>
        <w:tblLook w:val="04A0" w:firstRow="1" w:lastRow="0" w:firstColumn="1" w:lastColumn="0" w:noHBand="0" w:noVBand="1"/>
      </w:tblPr>
      <w:tblGrid>
        <w:gridCol w:w="299"/>
        <w:gridCol w:w="283"/>
        <w:gridCol w:w="114"/>
        <w:gridCol w:w="5932"/>
        <w:gridCol w:w="842"/>
        <w:gridCol w:w="932"/>
      </w:tblGrid>
      <w:tr w:rsidR="00E73997" w:rsidRPr="00E73997" w:rsidTr="009428CD">
        <w:trPr>
          <w:trHeight w:val="300"/>
        </w:trPr>
        <w:tc>
          <w:tcPr>
            <w:tcW w:w="8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E73997" w:rsidRPr="00E73997" w:rsidRDefault="00101854" w:rsidP="001018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Nefqa totali tal-gvern fuq SGEIs skont il-bażi ġuridika (miljuni ta’ EUR)</w:t>
            </w:r>
          </w:p>
        </w:tc>
      </w:tr>
      <w:tr w:rsidR="00E73997" w:rsidRPr="00E73997" w:rsidTr="009428CD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en-GB"/>
              </w:rPr>
            </w:pPr>
          </w:p>
        </w:tc>
        <w:tc>
          <w:tcPr>
            <w:tcW w:w="5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</w:tr>
      <w:tr w:rsidR="00E73997" w:rsidRPr="00E73997" w:rsidTr="009428CD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E73997" w:rsidRPr="00E73997" w:rsidRDefault="00A105BE" w:rsidP="00EA4E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Kumpens totali għal Servizzi ta’ Interess Ekonomiku Ġenerali (1+2)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E73997" w:rsidRPr="00E73997" w:rsidTr="009428CD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en-GB"/>
              </w:rPr>
            </w:pPr>
          </w:p>
        </w:tc>
        <w:tc>
          <w:tcPr>
            <w:tcW w:w="6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367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(1) Kumpens totali mogħti abbażi tad-Deċiżjoni dwar l-SGEIs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E73997" w:rsidRPr="00E73997" w:rsidTr="009428CD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en-GB"/>
              </w:rPr>
            </w:pPr>
          </w:p>
        </w:tc>
        <w:tc>
          <w:tcPr>
            <w:tcW w:w="6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367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(2) Kumpens totali mogħti abbażi tal-Qafas tal-SGEIs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E73997" w:rsidRPr="00E73997" w:rsidTr="009428CD">
        <w:trPr>
          <w:trHeight w:val="184"/>
        </w:trPr>
        <w:tc>
          <w:tcPr>
            <w:tcW w:w="840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997" w:rsidRPr="00E73997" w:rsidRDefault="00E73997" w:rsidP="00E739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GB"/>
              </w:rPr>
            </w:pPr>
          </w:p>
        </w:tc>
      </w:tr>
    </w:tbl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  <w:lang w:val="ga-IE"/>
        </w:rPr>
      </w:pPr>
    </w:p>
    <w:p w:rsidR="00E73997" w:rsidRPr="00E73997" w:rsidRDefault="00E73997" w:rsidP="00A64C2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 xml:space="preserve">Deskrizzjoni tal-applikazzjoni </w:t>
      </w:r>
      <w:r>
        <w:rPr>
          <w:rFonts w:ascii="Times New Roman" w:hAnsi="Times New Roman"/>
          <w:b/>
          <w:smallCaps/>
          <w:sz w:val="24"/>
          <w:szCs w:val="20"/>
          <w:u w:val="single"/>
        </w:rPr>
        <w:t>tad-Deċiżjoni dwar l-SGEIs tal-2012</w:t>
      </w:r>
      <w:r>
        <w:rPr>
          <w:rFonts w:ascii="Times New Roman" w:hAnsi="Times New Roman"/>
          <w:b/>
          <w:smallCaps/>
          <w:sz w:val="24"/>
          <w:szCs w:val="20"/>
        </w:rPr>
        <w:t xml:space="preserve"> </w:t>
      </w:r>
    </w:p>
    <w:p w:rsidR="00E73997" w:rsidRPr="0099514A" w:rsidRDefault="00E73997" w:rsidP="00E73997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0"/>
        </w:rPr>
      </w:pP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Ġentilment nitolbuk tfassal din il-parti tar-rapport tiegħek skont it-taqsimiet li ġejjin</w:t>
      </w:r>
      <w:r>
        <w:rPr>
          <w:rFonts w:ascii="Times New Roman" w:hAnsi="Times New Roman"/>
          <w:sz w:val="24"/>
          <w:szCs w:val="20"/>
        </w:rPr>
        <w:t>:</w:t>
      </w:r>
    </w:p>
    <w:p w:rsidR="00E73997" w:rsidRPr="00E73997" w:rsidRDefault="00E73997" w:rsidP="00E7399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Sptarijiet li jipprovdu kura medika, inkluż, fejn applikabbli, servizzi ta’ emerġenza (Artikolu 2(1)(b))</w:t>
      </w:r>
    </w:p>
    <w:p w:rsidR="00E73997" w:rsidRPr="00E73997" w:rsidRDefault="00E73997" w:rsidP="00E7399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soċjali (Artikolu 2(1)(c))</w:t>
      </w:r>
    </w:p>
    <w:p w:rsidR="00E73997" w:rsidRPr="00E73997" w:rsidRDefault="00E73997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Kura tas-saħħa u kura fit-tul</w:t>
      </w:r>
    </w:p>
    <w:p w:rsidR="00E73997" w:rsidRPr="00E73997" w:rsidRDefault="00E73997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Indukrar tat-tfal</w:t>
      </w:r>
    </w:p>
    <w:p w:rsidR="00E73997" w:rsidRPr="00E73997" w:rsidRDefault="00E73997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Aċċess għas-suq tax-xogħol u riintegrazzjoni fih</w:t>
      </w:r>
    </w:p>
    <w:p w:rsidR="00E73997" w:rsidRPr="00E73997" w:rsidRDefault="00E73997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Akkomodazzjoni soċjali</w:t>
      </w:r>
    </w:p>
    <w:p w:rsidR="00E73997" w:rsidRDefault="00E73997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Indukrar u inklużjoni soċjali ta’ gruppi vulnerabbli</w:t>
      </w:r>
    </w:p>
    <w:p w:rsidR="00A105BE" w:rsidRPr="00E73997" w:rsidRDefault="00A105BE" w:rsidP="00E73997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soċjali oħra (jekk applikabbli)</w:t>
      </w:r>
    </w:p>
    <w:p w:rsidR="00E73997" w:rsidRPr="00E73997" w:rsidRDefault="00E73997" w:rsidP="00E7399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Konnessjonijiet bl-ajru jew konnessjonijiet marittimi għal gżejjer bi traffiku annwali medju li ma jaqbiżx il-limitu stabbilit fl-Artikolu 2(1)(d)</w:t>
      </w:r>
    </w:p>
    <w:p w:rsidR="00E73997" w:rsidRPr="00E73997" w:rsidRDefault="00E73997" w:rsidP="00E73997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Ajruporti u portijiet bi traffiku annwali medju li ma jaqbiżx il-limitu stabbilit fl-Artikolu 2(1)(e)</w:t>
      </w:r>
    </w:p>
    <w:p w:rsidR="00E73997" w:rsidRPr="006D5E2F" w:rsidRDefault="00E73997" w:rsidP="006D5E2F">
      <w:pPr>
        <w:numPr>
          <w:ilvl w:val="0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Kumpens tal-SGEIs li ma jaqbiżx l-ammont annwali ta’ EUR 15-il miljun (Artikolu 2(1)(a))</w:t>
      </w:r>
    </w:p>
    <w:p w:rsidR="00E73997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postali</w:t>
      </w:r>
    </w:p>
    <w:p w:rsidR="00E73997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Enerġija</w:t>
      </w:r>
    </w:p>
    <w:p w:rsidR="00EA4EB6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Ġbir ta’ skart</w:t>
      </w:r>
    </w:p>
    <w:p w:rsidR="00E73997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Provvista tal-ilma</w:t>
      </w:r>
    </w:p>
    <w:p w:rsidR="00E73997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Kultura </w:t>
      </w:r>
    </w:p>
    <w:p w:rsidR="00E73997" w:rsidRPr="0099514A" w:rsidRDefault="00E73997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finanzjarji</w:t>
      </w:r>
    </w:p>
    <w:p w:rsidR="00E73997" w:rsidRPr="0099514A" w:rsidRDefault="00EA4EB6" w:rsidP="00A105BE">
      <w:pPr>
        <w:numPr>
          <w:ilvl w:val="1"/>
          <w:numId w:val="2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Setturi oħra (ġentilment nitolbuk tispeċifikahom)</w:t>
      </w:r>
    </w:p>
    <w:p w:rsidR="00E73997" w:rsidRPr="00E73997" w:rsidRDefault="00E73997" w:rsidP="0099514A">
      <w:pPr>
        <w:keepNext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Ġentilment nitolbuk tipprovdi informazzjoni għal kull partita spjegata hawn fuq fil-forma tat-tabella li ġejja: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9"/>
        <w:gridCol w:w="4379"/>
      </w:tblGrid>
      <w:tr w:rsidR="00A105BE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A105BE" w:rsidRPr="00E73997" w:rsidRDefault="00A105BE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Taqsima (pereżempju 1, sptarijiet jew 2b, indukrar tat-tfal)</w:t>
            </w:r>
          </w:p>
        </w:tc>
      </w:tr>
      <w:tr w:rsidR="00A105BE" w:rsidRPr="00E73997" w:rsidTr="00A105BE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05BE" w:rsidRDefault="00A105BE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E73997" w:rsidRPr="00E73997" w:rsidRDefault="00E73997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Deskrizzjoni ċara u komprensiva dwar kif is-servizzi rispettivi huma organizzati fl-Istat Membru tiegħek</w:t>
            </w:r>
            <w:r>
              <w:rPr>
                <w:rFonts w:ascii="Times New Roman" w:eastAsia="Times New Roman" w:hAnsi="Times New Roman"/>
                <w:b/>
                <w:sz w:val="24"/>
                <w:szCs w:val="20"/>
                <w:vertAlign w:val="superscript"/>
              </w:rPr>
              <w:footnoteReference w:id="1"/>
            </w: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99514A" w:rsidRDefault="001C3CBF" w:rsidP="007B595C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ta’ x’tip ta’ servizzi fis-settur rispettiv ġew iddefiniti bħala SGEIs fl-Istat Membru tiegħek. Ġentilment nitolbuk tniżżel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il-kontenut tas-servizzi inkarigati bħala SGEIs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bl-iktar mod ċar possibbli.</w:t>
            </w:r>
          </w:p>
        </w:tc>
      </w:tr>
      <w:tr w:rsidR="00E73997" w:rsidRPr="00E73997" w:rsidTr="0099514A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1C3CBF" w:rsidRPr="00E73997" w:rsidTr="0099514A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1C3CBF" w:rsidRPr="00E73997" w:rsidRDefault="001C3CBF" w:rsidP="007B595C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tal-forom ta’ inkarigi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(tipiċi). Ġentilment nitolbuk tehmeż il-mudelli għall-inkarigi għal ċertu settur, jekk dawn jintużaw.</w:t>
            </w:r>
            <w:r>
              <w:t xml:space="preserve"> </w:t>
            </w:r>
          </w:p>
        </w:tc>
      </w:tr>
      <w:tr w:rsidR="001C3CBF" w:rsidRPr="00E73997" w:rsidTr="001C3CB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CBF" w:rsidRPr="00E73997" w:rsidRDefault="001C3CBF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A817BA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Id-durata medja tal-inkarigu (fi snin)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u l-proporzjon tal-inkarigi li huma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itwal minn 10 snin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(bħala persentaġġ) għal kull settur. Speċifika f’liema setturi ġew inkarigati l-SGEIs b’durata ta’ aktar minn 10 snin, u spjega kif din id-durata hija ġġustifikata.</w:t>
            </w:r>
          </w:p>
        </w:tc>
      </w:tr>
      <w:tr w:rsidR="00E73997" w:rsidRPr="00E73997" w:rsidTr="0099514A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1C3CBF" w:rsidRPr="00E73997" w:rsidTr="0099514A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1C3CBF" w:rsidRPr="0099514A" w:rsidRDefault="001C3CBF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 jekk humiex assenjati (tipikament)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drittijiet esklużivi jew speċjali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lill-impriżi.</w:t>
            </w:r>
          </w:p>
        </w:tc>
      </w:tr>
      <w:tr w:rsidR="001C3CBF" w:rsidRPr="00E73997" w:rsidTr="001C3CB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CBF" w:rsidRPr="00E73997" w:rsidRDefault="001C3CBF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99514A" w:rsidRDefault="00A817BA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Liema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strumenti ta’ għajnuna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ntużaw (sussidji diretti, garanziji, eċċ.)?</w:t>
            </w:r>
          </w:p>
        </w:tc>
      </w:tr>
      <w:tr w:rsidR="00E73997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Il-mekkaniżmu ta’ kumpens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tipiku fir-rigward tas-servizzi rispettivi u jekk tintużax metodoloġija bbażata fuq l-allokazzjoni tal-ispiża jew il-metodoloġija tal-ispejjeż netti evitati.</w:t>
            </w:r>
          </w:p>
        </w:tc>
      </w:tr>
      <w:tr w:rsidR="00E73997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L-arranġamenti tipiċi biex jiġi evitat u jitħallas lura kumpens eċċessiv.</w:t>
            </w:r>
          </w:p>
        </w:tc>
      </w:tr>
      <w:tr w:rsidR="00E73997" w:rsidRPr="00E73997" w:rsidTr="00230487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230487" w:rsidRPr="00E73997" w:rsidTr="00765398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:rsidR="00230487" w:rsidRPr="00E73997" w:rsidRDefault="00230487" w:rsidP="00101854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qasira ta’ kif qed ikun hemm konformità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mar-rekwiżiti ta’ trasparenza </w:t>
            </w:r>
            <w:r>
              <w:rPr>
                <w:rFonts w:ascii="Times New Roman" w:hAnsi="Times New Roman"/>
                <w:sz w:val="24"/>
                <w:szCs w:val="20"/>
              </w:rPr>
              <w:t>(ara l-Artikolu 7 tad-Deċiżjoni dwar l-SGEIs tal-2012) għall-għajnuna ’l fuq minn EUR 15-il miljun għal impriżi li jwettqu wkoll attivitajiet barra mill-kamp ta’ applikazzjoni tal-SGEIs. Fit-tweġiba tiegħek, ġentilment nitolbuk tinkludi wkoll xi eżempji rilevanti ta’ informazzjoni ppubblikata għal dan l-għan (pereżempju xi links għal siti web jew referenzi oħra), tindika jekk għandekx sit web ċentrali li fuqu qed tippubblika din l-informazzjoni għal kull miżura ta’ għajnuna kkonċernata fl-Istat Membru tiegħek (u jekk iva, tipprovdi link għal dan is-sit web), jew inkella tispjega jekk u kif il-pubblikazzjoni sseħħ fil-livell tal-għoti tal-għajnuna (pereżempju fil-livell ċentrali, reġjonali jew lokali).</w:t>
            </w:r>
          </w:p>
        </w:tc>
      </w:tr>
      <w:tr w:rsidR="00230487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0487" w:rsidRPr="00E73997" w:rsidRDefault="00230487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E73997" w:rsidRPr="00E73997" w:rsidRDefault="00E73997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Ammont tal-għajnuna mogħtija</w:t>
            </w: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Ammont totali tal-għajnuna mogħtija (f’miljuni ta’ EUR)</w:t>
            </w:r>
            <w:r>
              <w:rPr>
                <w:rFonts w:ascii="Times New Roman" w:eastAsia="Times New Roman" w:hAnsi="Times New Roman"/>
                <w:sz w:val="24"/>
                <w:szCs w:val="20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>Dan jinkludi l-għajnuna kollha mogħtija fit-territorju tiegħek, inkluż l-għajnuna mogħtija mill-awtoritajiet reġjonali u lokali. (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A+B+C</w:t>
            </w:r>
            <w:r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</w:tr>
      <w:tr w:rsidR="00E73997" w:rsidRPr="00E73997" w:rsidTr="00B804DF"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E73997" w:rsidRPr="00E73997" w:rsidTr="00B804D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A: Ammont totali tal-għajnuna mogħtija (f’miljuni ta’ EUR)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imħallsa mill-awtoritajiet ċentrali nazzjonali</w:t>
            </w:r>
            <w:bookmarkStart w:id="0" w:name="_Ref443469630"/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3"/>
            </w:r>
            <w:bookmarkEnd w:id="0"/>
          </w:p>
        </w:tc>
      </w:tr>
      <w:tr w:rsidR="00E73997" w:rsidRPr="00E73997" w:rsidTr="00B804DF"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E73997" w:rsidRPr="00E73997" w:rsidTr="00B804D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B: Ammont totali tal-għajnuna mogħtija (f’miljuni ta’ EUR) </w:t>
            </w:r>
            <w:r>
              <w:rPr>
                <w:rFonts w:ascii="Times New Roman" w:hAnsi="Times New Roman"/>
                <w:sz w:val="24"/>
                <w:szCs w:val="20"/>
              </w:rPr>
              <w:t>imħallsa mill-awtoritajiet reġjonali</w:t>
            </w:r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4"/>
            </w:r>
          </w:p>
        </w:tc>
      </w:tr>
      <w:tr w:rsidR="00E73997" w:rsidRPr="00E73997" w:rsidTr="00B804DF"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E73997" w:rsidRPr="00E73997" w:rsidTr="00B804D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clear" w:color="auto" w:fill="F2F2F2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C: Ammont totali tal-għajnuna mogħtija (f’miljuni ta’ EUR) </w:t>
            </w:r>
            <w:r>
              <w:rPr>
                <w:rFonts w:ascii="Times New Roman" w:hAnsi="Times New Roman"/>
                <w:sz w:val="24"/>
                <w:szCs w:val="20"/>
              </w:rPr>
              <w:t>imħallsa mill-awtoritajiet lokali</w:t>
            </w:r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5"/>
            </w:r>
          </w:p>
        </w:tc>
      </w:tr>
      <w:tr w:rsidR="00E73997" w:rsidRPr="00E73997" w:rsidTr="00B804DF"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E73997" w:rsidRPr="00E73997" w:rsidRDefault="00E73997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E73997" w:rsidRPr="00E73997" w:rsidTr="00B804D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E73997" w:rsidRPr="00E73997" w:rsidRDefault="00E73997" w:rsidP="00E73997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99514A" w:rsidRPr="0099514A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:rsidR="0099514A" w:rsidRPr="0099514A" w:rsidRDefault="0099514A" w:rsidP="0092449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Sehem tan-nefqa għal kull strument tal-għajnuna </w:t>
            </w:r>
            <w:r>
              <w:rPr>
                <w:rFonts w:ascii="Times New Roman" w:hAnsi="Times New Roman"/>
                <w:sz w:val="24"/>
              </w:rPr>
              <w:t>(sussidju dirett, garanziji, eċċ.) (jekk disponibbli)</w:t>
            </w:r>
          </w:p>
        </w:tc>
      </w:tr>
      <w:tr w:rsidR="0099514A" w:rsidRPr="0099514A" w:rsidTr="00D459EF">
        <w:tc>
          <w:tcPr>
            <w:tcW w:w="4379" w:type="dxa"/>
            <w:tcBorders>
              <w:bottom w:val="single" w:sz="4" w:space="0" w:color="auto"/>
            </w:tcBorders>
            <w:shd w:val="pct5" w:color="auto" w:fill="auto"/>
          </w:tcPr>
          <w:p w:rsidR="0099514A" w:rsidRPr="0099514A" w:rsidRDefault="0099514A" w:rsidP="009428C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2020</w:t>
            </w:r>
          </w:p>
        </w:tc>
        <w:tc>
          <w:tcPr>
            <w:tcW w:w="4379" w:type="dxa"/>
            <w:tcBorders>
              <w:bottom w:val="single" w:sz="4" w:space="0" w:color="auto"/>
            </w:tcBorders>
            <w:shd w:val="pct5" w:color="auto" w:fill="auto"/>
          </w:tcPr>
          <w:p w:rsidR="0099514A" w:rsidRPr="0099514A" w:rsidRDefault="0099514A" w:rsidP="009428C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2021</w:t>
            </w:r>
          </w:p>
        </w:tc>
      </w:tr>
      <w:tr w:rsidR="0099514A" w:rsidRPr="007C008C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99514A" w:rsidRPr="007C008C" w:rsidRDefault="0099514A" w:rsidP="00D459EF">
            <w:pPr>
              <w:rPr>
                <w:b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99514A" w:rsidRPr="007C008C" w:rsidRDefault="0099514A" w:rsidP="00D459EF">
            <w:pPr>
              <w:rPr>
                <w:b/>
              </w:rPr>
            </w:pPr>
          </w:p>
        </w:tc>
      </w:tr>
      <w:tr w:rsidR="00E73997" w:rsidRPr="00E73997" w:rsidTr="00B804DF">
        <w:tc>
          <w:tcPr>
            <w:tcW w:w="8758" w:type="dxa"/>
            <w:gridSpan w:val="2"/>
            <w:shd w:val="pct5" w:color="auto" w:fill="auto"/>
          </w:tcPr>
          <w:p w:rsidR="00E73997" w:rsidRPr="00E73997" w:rsidRDefault="002E7839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Informazzjoni kwantitattiva addizzjonali </w:t>
            </w:r>
            <w:r>
              <w:rPr>
                <w:rFonts w:ascii="Times New Roman" w:hAnsi="Times New Roman"/>
                <w:sz w:val="24"/>
                <w:szCs w:val="20"/>
              </w:rPr>
              <w:t>(pereżempju l-għadd ta’ benefiċjarji għal kull settur, l-ammont medju tal-għajnuna, id-daqs tal-impriżi)</w:t>
            </w:r>
            <w:r>
              <w:rPr>
                <w:rFonts w:ascii="Times New Roman" w:eastAsia="Times New Roman" w:hAnsi="Times New Roman"/>
                <w:sz w:val="24"/>
                <w:szCs w:val="20"/>
                <w:vertAlign w:val="superscript"/>
              </w:rPr>
              <w:footnoteReference w:id="6"/>
            </w:r>
          </w:p>
        </w:tc>
      </w:tr>
      <w:tr w:rsidR="002E7839" w:rsidRPr="00E73997" w:rsidTr="00633490"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E7839" w:rsidRPr="0099514A" w:rsidRDefault="002E7839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E7839" w:rsidRPr="0099514A" w:rsidRDefault="002E7839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2E7839" w:rsidRPr="00E73997" w:rsidTr="002E7839"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9" w:rsidRPr="002E7839" w:rsidRDefault="002E7839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839" w:rsidRPr="002E7839" w:rsidRDefault="002E7839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highlight w:val="yellow"/>
              </w:rPr>
            </w:pPr>
          </w:p>
        </w:tc>
      </w:tr>
    </w:tbl>
    <w:p w:rsidR="00E73997" w:rsidRDefault="00E73997" w:rsidP="00E73997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0"/>
          <w:lang w:val="ga-IE"/>
        </w:rPr>
      </w:pPr>
    </w:p>
    <w:p w:rsidR="00A86840" w:rsidRPr="00A86840" w:rsidRDefault="00A86840" w:rsidP="00E73997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u w:val="single"/>
        </w:rPr>
      </w:pPr>
      <w:r>
        <w:rPr>
          <w:rFonts w:ascii="Times New Roman" w:hAnsi="Times New Roman"/>
          <w:b/>
          <w:sz w:val="24"/>
          <w:szCs w:val="20"/>
          <w:u w:val="single"/>
        </w:rPr>
        <w:t>Ġentilment nitolbuk ukoll timla l-fajl excel ta’ sommarju anness, “</w:t>
      </w:r>
      <w:r w:rsidR="00265407" w:rsidRPr="00265407">
        <w:rPr>
          <w:rFonts w:ascii="Times New Roman" w:hAnsi="Times New Roman"/>
          <w:b/>
          <w:sz w:val="24"/>
          <w:szCs w:val="20"/>
          <w:u w:val="single"/>
        </w:rPr>
        <w:t>SGEI Decision 2020_2021</w:t>
      </w:r>
      <w:bookmarkStart w:id="1" w:name="_GoBack"/>
      <w:bookmarkEnd w:id="1"/>
      <w:r>
        <w:rPr>
          <w:rFonts w:ascii="Times New Roman" w:hAnsi="Times New Roman"/>
          <w:b/>
          <w:sz w:val="24"/>
          <w:szCs w:val="20"/>
          <w:u w:val="single"/>
        </w:rPr>
        <w:t xml:space="preserve">”, bl-ammonti totali għal kull taqsima għall-Istat Membru sħiħ (mhux għal kull reġjun, awtorità lokali jew muniċipalità). </w:t>
      </w:r>
    </w:p>
    <w:p w:rsidR="00A86840" w:rsidRPr="00E73997" w:rsidRDefault="00A86840" w:rsidP="00E73997">
      <w:pPr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0"/>
          <w:lang w:val="ga-IE"/>
        </w:rPr>
      </w:pPr>
    </w:p>
    <w:p w:rsidR="00E73997" w:rsidRPr="00E73997" w:rsidRDefault="00E73997" w:rsidP="00A64C24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 xml:space="preserve">Deskrizzjoni tal-applikazzjoni </w:t>
      </w:r>
      <w:r>
        <w:rPr>
          <w:rFonts w:ascii="Times New Roman" w:hAnsi="Times New Roman"/>
          <w:b/>
          <w:smallCaps/>
          <w:sz w:val="24"/>
          <w:szCs w:val="20"/>
          <w:u w:val="single"/>
        </w:rPr>
        <w:t>tal-Qafas tal-SGEIs tal-2012</w:t>
      </w:r>
      <w:r>
        <w:rPr>
          <w:rFonts w:ascii="Times New Roman" w:hAnsi="Times New Roman"/>
          <w:b/>
          <w:smallCaps/>
          <w:sz w:val="24"/>
          <w:szCs w:val="20"/>
        </w:rPr>
        <w:t xml:space="preserve"> </w:t>
      </w:r>
    </w:p>
    <w:p w:rsidR="00E73997" w:rsidRPr="00E73997" w:rsidRDefault="00E73997" w:rsidP="0099514A">
      <w:pPr>
        <w:keepNext/>
        <w:spacing w:after="0" w:line="240" w:lineRule="auto"/>
        <w:rPr>
          <w:rFonts w:ascii="Times New Roman" w:eastAsia="Times New Roman" w:hAnsi="Times New Roman"/>
          <w:b/>
          <w:smallCaps/>
          <w:sz w:val="24"/>
          <w:szCs w:val="20"/>
        </w:rPr>
      </w:pPr>
    </w:p>
    <w:p w:rsidR="00E73997" w:rsidRPr="00E73997" w:rsidRDefault="00E73997" w:rsidP="0099514A">
      <w:pPr>
        <w:keepNext/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Ġentilment nitolbuk tfassal din il-parti tar-rapport tiegħek skont it-taqsimiet li ġejjin</w:t>
      </w:r>
      <w:r>
        <w:rPr>
          <w:rFonts w:ascii="Times New Roman" w:hAnsi="Times New Roman"/>
          <w:sz w:val="24"/>
          <w:szCs w:val="20"/>
        </w:rPr>
        <w:t xml:space="preserve">: </w:t>
      </w:r>
    </w:p>
    <w:p w:rsidR="00E73997" w:rsidRPr="00E73997" w:rsidRDefault="00E73997" w:rsidP="00A64C24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Kumpens tal-SGEIs li jaqbeż il-EUR 15-il miljun, li jaqa’ barra mid-Deċiżjoni dwar l-SGEIs (ġentilment speċifika d-deċiżjoni tal-Kummissjoni li tapprova kull miżura, jekk applikabbli):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postali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Enerġija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Ġbir ta’ skart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Provvista tal-ilma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Konnessjonijiet bl-ajru jew konnessjonijiet marittimi għal gżejjer bi traffiku annwali medju ogħla mil-limiti stabbiliti fl-Artikolu 2(1)(d)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Ajruporti u portijiet bi traffiku annwali medju ogħla mil-limitu stabbilit fl-Artikolu 2(1)(e)</w:t>
      </w:r>
    </w:p>
    <w:p w:rsidR="00E73997" w:rsidRPr="00E73997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Kultura </w:t>
      </w:r>
    </w:p>
    <w:p w:rsidR="006B09A1" w:rsidRDefault="00E73997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Servizzi finanzjarji</w:t>
      </w:r>
    </w:p>
    <w:p w:rsidR="00E73997" w:rsidRPr="00E73997" w:rsidRDefault="00F57820" w:rsidP="0099514A">
      <w:pPr>
        <w:numPr>
          <w:ilvl w:val="1"/>
          <w:numId w:val="5"/>
        </w:numPr>
        <w:spacing w:after="24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Setturi oħra (ġentilment nitolbuk tispeċifikahom)</w:t>
      </w:r>
    </w:p>
    <w:p w:rsidR="00E73997" w:rsidRP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sz w:val="24"/>
          <w:szCs w:val="20"/>
        </w:rPr>
        <w:t>Ġentilment nitolbuk tipprovdi informazzjoni għal kull partita spjegata hawn fuq fil-forma tat-tabella li ġejja: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9"/>
        <w:gridCol w:w="4379"/>
      </w:tblGrid>
      <w:tr w:rsidR="00A105BE" w:rsidRPr="00E73997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A105BE" w:rsidRPr="00E73997" w:rsidRDefault="00A105BE" w:rsidP="00D459EF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Taqsima (pereżempju iii. Ġbir ta’ skart jew viii. Servizzi finanzjarji)</w:t>
            </w:r>
          </w:p>
        </w:tc>
      </w:tr>
      <w:tr w:rsidR="00A105BE" w:rsidRPr="00E73997" w:rsidTr="00A105BE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05BE" w:rsidRPr="00E73997" w:rsidRDefault="00A105BE" w:rsidP="00D459EF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7B595C" w:rsidRPr="00E73997" w:rsidRDefault="007B595C" w:rsidP="00D459EF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Deskrizzjoni ċara u komprensiva dwar kif is-servizzi rispettivi huma organizzati fl-Istat Membru tiegħek</w:t>
            </w:r>
            <w:r>
              <w:rPr>
                <w:rFonts w:ascii="Times New Roman" w:eastAsia="Times New Roman" w:hAnsi="Times New Roman"/>
                <w:b/>
                <w:sz w:val="24"/>
                <w:szCs w:val="20"/>
                <w:vertAlign w:val="superscript"/>
              </w:rPr>
              <w:footnoteReference w:id="7"/>
            </w:r>
          </w:p>
        </w:tc>
      </w:tr>
      <w:tr w:rsidR="007B595C" w:rsidRPr="007D2B69" w:rsidTr="00D459EF">
        <w:tc>
          <w:tcPr>
            <w:tcW w:w="8758" w:type="dxa"/>
            <w:gridSpan w:val="2"/>
            <w:shd w:val="clear" w:color="auto" w:fill="F2F2F2"/>
          </w:tcPr>
          <w:p w:rsidR="007B595C" w:rsidRPr="007D2B69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ta’ x’tip ta’ servizzi fis-settur rispettiv ġew iddefiniti bħala SGEIs fl-Istat Membru tiegħek. Ġentilment nitolbuk tniżżel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il-kontenut tas-servizzi inkarigati bħala SGEIs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bl-iktar mod ċar possibbli.</w:t>
            </w:r>
          </w:p>
        </w:tc>
      </w:tr>
      <w:tr w:rsidR="007B595C" w:rsidRPr="00E73997" w:rsidTr="0099514A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E73997" w:rsidTr="0099514A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tal-forom ta’ inkarigi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(tipiċi). Ġentilment nitolbuk tehmeż il-mudelli għall-inkarigi għal ċertu settur, jekk dawn jintużaw.</w:t>
            </w:r>
            <w:r>
              <w:t xml:space="preserve"> </w:t>
            </w: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E73997" w:rsidTr="00D459EF">
        <w:tc>
          <w:tcPr>
            <w:tcW w:w="8758" w:type="dxa"/>
            <w:gridSpan w:val="2"/>
            <w:shd w:val="clear" w:color="auto" w:fill="F2F2F2"/>
          </w:tcPr>
          <w:p w:rsidR="007B595C" w:rsidRPr="00E73997" w:rsidRDefault="007B595C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Id-durata medja tal-inkarigu (fi snin)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u l-proporzjon tal-inkarigi li huma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itwal minn 10 snin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(bħala persentaġġ) għal kull settur. Speċifika f’liema setturi ġew inkarigati l-SGEIs b’durata ta’ aktar minn 10 snin, u spjega kif din id-durata hija ġġustifikata.</w:t>
            </w: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595C" w:rsidRPr="00E73997" w:rsidRDefault="007B595C" w:rsidP="0099514A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7D2B69" w:rsidTr="00D459E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B595C" w:rsidRPr="007D2B69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 jekk humiex assenjati (tipikament)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drittijiet esklużivi jew speċjali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lill-impriżi.</w:t>
            </w: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7D2B69" w:rsidTr="00D459EF">
        <w:tc>
          <w:tcPr>
            <w:tcW w:w="8758" w:type="dxa"/>
            <w:gridSpan w:val="2"/>
            <w:shd w:val="clear" w:color="auto" w:fill="F2F2F2"/>
          </w:tcPr>
          <w:p w:rsidR="007B595C" w:rsidRPr="007D2B69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Liema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strumenti ta’ għajnuna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ntużaw (sussidji diretti, garanziji, eċċ.)?</w:t>
            </w: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E73997" w:rsidTr="00D459EF">
        <w:tc>
          <w:tcPr>
            <w:tcW w:w="8758" w:type="dxa"/>
            <w:gridSpan w:val="2"/>
            <w:shd w:val="clear" w:color="auto" w:fill="F2F2F2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Il-mekkaniżmu ta’ kumpens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tipiku fir-rigward tas-servizzi rispettivi u jekk tintużax metodoloġija bbażata fuq l-allokazzjoni tal-ispiża jew il-metodoloġija tal-ispejjeż netti evitati.</w:t>
            </w:r>
          </w:p>
        </w:tc>
      </w:tr>
      <w:tr w:rsidR="007B595C" w:rsidRPr="00E73997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7B595C" w:rsidRPr="00E73997" w:rsidTr="00D459EF">
        <w:tc>
          <w:tcPr>
            <w:tcW w:w="8758" w:type="dxa"/>
            <w:gridSpan w:val="2"/>
            <w:shd w:val="clear" w:color="auto" w:fill="F2F2F2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L-arranġamenti tipiċi biex jiġi evitat u jitħallas lura kumpens eċċessiv.</w:t>
            </w:r>
          </w:p>
        </w:tc>
      </w:tr>
      <w:tr w:rsidR="007B595C" w:rsidRPr="00E73997" w:rsidTr="00AE245E">
        <w:tc>
          <w:tcPr>
            <w:tcW w:w="87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595C" w:rsidRPr="00E73997" w:rsidRDefault="007B595C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9428CD" w:rsidRPr="00E73997" w:rsidTr="009428CD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CD" w:rsidRPr="009428CD" w:rsidRDefault="009428CD" w:rsidP="0028684D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Spjegazzjoni qasira dwar kif qed ikun hemm konformità 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>mar-rekwiżiti ta’ trasparenza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(ara l-Paragrafu 60 tal-Qafas tal-SGEIs tal-2012). Fit-tweġiba tiegħek, ġentilment nitolbuk tinkludi wkoll xi eżempji rilevanti ta’ informazzjoni ppubblikata għal dan l-għan (pereżempju xi links għal siti web jew referenzi oħra), tindika jekk għandekx sit web ċentrali li fuqu qed tippubblika din l-informazzjoni għal kull miżura ta’ għajnuna kkonċernata fl-Istat Membru tiegħek (u jekk iva, tipprovdi link għal dan is-sit web), jew inkella tispjega jekk u kif il-pubblikazzjoni sseħħ fil-livell tal-għoti tal-għajnuna (pereżempju fil-livell ċentrali, reġjonali jew lokali).</w:t>
            </w:r>
          </w:p>
        </w:tc>
      </w:tr>
      <w:tr w:rsidR="009428CD" w:rsidRPr="00E73997" w:rsidTr="009428CD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8CD" w:rsidRPr="00E73997" w:rsidRDefault="009428CD" w:rsidP="009428CD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AE245E" w:rsidRPr="00E73997" w:rsidTr="00D459EF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E245E" w:rsidRPr="00E73997" w:rsidRDefault="00AE245E" w:rsidP="00AE245E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Ammont tal-għajnuna mogħtija</w:t>
            </w:r>
          </w:p>
        </w:tc>
      </w:tr>
      <w:tr w:rsidR="00AE245E" w:rsidRPr="00E73997" w:rsidTr="00AE245E">
        <w:tc>
          <w:tcPr>
            <w:tcW w:w="8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AE245E" w:rsidRPr="00AE245E" w:rsidRDefault="00AE245E" w:rsidP="00AE245E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Ammont totali tal-għajnuna mogħtija (f’miljuni ta’ EUR)</w:t>
            </w:r>
            <w:r>
              <w:rPr>
                <w:rFonts w:ascii="Times New Roman" w:eastAsia="Times New Roman" w:hAnsi="Times New Roman"/>
                <w:b/>
                <w:sz w:val="24"/>
                <w:szCs w:val="20"/>
                <w:vertAlign w:val="superscript"/>
              </w:rPr>
              <w:footnoteReference w:id="8"/>
            </w:r>
            <w:r>
              <w:rPr>
                <w:rFonts w:ascii="Times New Roman" w:hAnsi="Times New Roman"/>
                <w:b/>
                <w:sz w:val="24"/>
                <w:szCs w:val="20"/>
              </w:rPr>
              <w:t>. Dan jinkludi l-għajnuna kollha mogħtija fit-territorju tiegħek, inkluż l-għajnuna mogħtija mill-awtoritajiet reġjonali u lokali. (A+B+C)</w:t>
            </w:r>
          </w:p>
        </w:tc>
      </w:tr>
      <w:tr w:rsidR="00AE245E" w:rsidRPr="00E73997" w:rsidTr="00D459EF"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AE245E" w:rsidRPr="00E73997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AE245E" w:rsidRPr="00E73997" w:rsidTr="00D459EF">
        <w:tc>
          <w:tcPr>
            <w:tcW w:w="8758" w:type="dxa"/>
            <w:gridSpan w:val="2"/>
            <w:shd w:val="clear" w:color="auto" w:fill="F2F2F2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A: Ammont totali tal-għajnuna mogħtija (f’miljuni ta’ EUR)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imħallsa mill-awtoritajiet ċentrali nazzjonali</w:t>
            </w:r>
            <w:bookmarkStart w:id="2" w:name="_Ref443469914"/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9"/>
            </w:r>
            <w:bookmarkEnd w:id="2"/>
          </w:p>
        </w:tc>
      </w:tr>
      <w:tr w:rsidR="00AE245E" w:rsidRPr="00E73997" w:rsidTr="00D459EF"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AE245E" w:rsidRPr="00E73997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AE245E" w:rsidRPr="00E73997" w:rsidTr="00D459EF">
        <w:tc>
          <w:tcPr>
            <w:tcW w:w="8758" w:type="dxa"/>
            <w:gridSpan w:val="2"/>
            <w:shd w:val="clear" w:color="auto" w:fill="F2F2F2"/>
          </w:tcPr>
          <w:p w:rsidR="00AE245E" w:rsidRPr="00E73997" w:rsidRDefault="00AE245E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B: Ammont totali tal-għajnuna mogħtija (f’miljuni ta’ EUR) </w:t>
            </w:r>
            <w:r>
              <w:rPr>
                <w:rFonts w:ascii="Times New Roman" w:hAnsi="Times New Roman"/>
                <w:sz w:val="24"/>
                <w:szCs w:val="20"/>
              </w:rPr>
              <w:t>imħallsa mill-awtoritajiet reġjonali</w:t>
            </w:r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10"/>
            </w:r>
          </w:p>
        </w:tc>
      </w:tr>
      <w:tr w:rsidR="00AE245E" w:rsidRPr="00E73997" w:rsidTr="00D459EF"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AE245E" w:rsidRPr="00E73997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9428CD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AE245E" w:rsidRPr="00E73997" w:rsidTr="00D459EF">
        <w:tc>
          <w:tcPr>
            <w:tcW w:w="8758" w:type="dxa"/>
            <w:gridSpan w:val="2"/>
            <w:shd w:val="clear" w:color="auto" w:fill="F2F2F2"/>
          </w:tcPr>
          <w:p w:rsidR="00AE245E" w:rsidRPr="00E73997" w:rsidRDefault="00AE245E" w:rsidP="00AE245E">
            <w:pPr>
              <w:keepNext/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C: Ammont totali tal-għajnuna mogħtija (f’miljuni ta’ EUR) </w:t>
            </w:r>
            <w:r>
              <w:rPr>
                <w:rFonts w:ascii="Times New Roman" w:hAnsi="Times New Roman"/>
                <w:sz w:val="24"/>
                <w:szCs w:val="20"/>
              </w:rPr>
              <w:t>imħallsa mill-awtoritajiet lokali</w:t>
            </w:r>
            <w:r>
              <w:rPr>
                <w:rStyle w:val="FootnoteReference"/>
                <w:rFonts w:ascii="Times New Roman" w:eastAsia="Times New Roman" w:hAnsi="Times New Roman"/>
                <w:sz w:val="24"/>
                <w:szCs w:val="20"/>
              </w:rPr>
              <w:footnoteReference w:id="11"/>
            </w:r>
          </w:p>
        </w:tc>
      </w:tr>
      <w:tr w:rsidR="00AE245E" w:rsidRPr="00E73997" w:rsidTr="00D459EF"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shd w:val="clear" w:color="auto" w:fill="F2F2F2"/>
          </w:tcPr>
          <w:p w:rsidR="00AE245E" w:rsidRPr="00E73997" w:rsidRDefault="00AE245E" w:rsidP="009428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AE245E" w:rsidRPr="00E73997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</w:p>
        </w:tc>
      </w:tr>
      <w:tr w:rsidR="00AE245E" w:rsidRPr="0099514A" w:rsidTr="00D459EF">
        <w:tc>
          <w:tcPr>
            <w:tcW w:w="8758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:rsidR="00AE245E" w:rsidRPr="0099514A" w:rsidRDefault="00AE245E" w:rsidP="005135C9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Sehem tan-nefqa għal kull strument tal-għajnuna </w:t>
            </w:r>
            <w:r>
              <w:rPr>
                <w:rFonts w:ascii="Times New Roman" w:hAnsi="Times New Roman"/>
                <w:sz w:val="24"/>
              </w:rPr>
              <w:t>(sussidju dirett, garanziji, eċċ.) (jekk disponibbli)</w:t>
            </w:r>
          </w:p>
        </w:tc>
      </w:tr>
      <w:tr w:rsidR="00AE245E" w:rsidRPr="0099514A" w:rsidTr="00D459EF">
        <w:tc>
          <w:tcPr>
            <w:tcW w:w="4379" w:type="dxa"/>
            <w:tcBorders>
              <w:bottom w:val="single" w:sz="4" w:space="0" w:color="auto"/>
            </w:tcBorders>
            <w:shd w:val="pct5" w:color="auto" w:fill="auto"/>
          </w:tcPr>
          <w:p w:rsidR="00AE245E" w:rsidRPr="0099514A" w:rsidRDefault="00AE245E" w:rsidP="009428C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2020</w:t>
            </w:r>
          </w:p>
        </w:tc>
        <w:tc>
          <w:tcPr>
            <w:tcW w:w="4379" w:type="dxa"/>
            <w:tcBorders>
              <w:bottom w:val="single" w:sz="4" w:space="0" w:color="auto"/>
            </w:tcBorders>
            <w:shd w:val="pct5" w:color="auto" w:fill="auto"/>
          </w:tcPr>
          <w:p w:rsidR="00AE245E" w:rsidRPr="0099514A" w:rsidRDefault="00AE245E" w:rsidP="009428C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2021</w:t>
            </w:r>
          </w:p>
        </w:tc>
      </w:tr>
      <w:tr w:rsidR="00AE245E" w:rsidRPr="007C008C" w:rsidTr="00D459EF"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7C008C" w:rsidRDefault="00AE245E" w:rsidP="00D459EF">
            <w:pPr>
              <w:rPr>
                <w:b/>
              </w:rPr>
            </w:pPr>
          </w:p>
        </w:tc>
        <w:tc>
          <w:tcPr>
            <w:tcW w:w="4379" w:type="dxa"/>
            <w:tcBorders>
              <w:bottom w:val="single" w:sz="4" w:space="0" w:color="auto"/>
            </w:tcBorders>
            <w:shd w:val="clear" w:color="auto" w:fill="auto"/>
          </w:tcPr>
          <w:p w:rsidR="00AE245E" w:rsidRPr="007C008C" w:rsidRDefault="00AE245E" w:rsidP="00D459EF">
            <w:pPr>
              <w:rPr>
                <w:b/>
              </w:rPr>
            </w:pPr>
          </w:p>
        </w:tc>
      </w:tr>
      <w:tr w:rsidR="00AE245E" w:rsidRPr="00E73997" w:rsidTr="00D459EF">
        <w:tc>
          <w:tcPr>
            <w:tcW w:w="8758" w:type="dxa"/>
            <w:gridSpan w:val="2"/>
            <w:shd w:val="pct5" w:color="auto" w:fill="auto"/>
          </w:tcPr>
          <w:p w:rsidR="00AE245E" w:rsidRPr="00E73997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Informazzjoni kwantitattiva addizzjonali </w:t>
            </w:r>
            <w:r>
              <w:rPr>
                <w:rFonts w:ascii="Times New Roman" w:hAnsi="Times New Roman"/>
                <w:sz w:val="24"/>
                <w:szCs w:val="20"/>
              </w:rPr>
              <w:t>(pereżempju l-għadd ta’ benefiċjarji għal kull settur, l-ammont medju tal-għajnuna, id-daqs tal-impriżi)</w:t>
            </w:r>
            <w:r>
              <w:rPr>
                <w:rFonts w:ascii="Times New Roman" w:eastAsia="Times New Roman" w:hAnsi="Times New Roman"/>
                <w:sz w:val="24"/>
                <w:szCs w:val="20"/>
                <w:vertAlign w:val="superscript"/>
              </w:rPr>
              <w:footnoteReference w:id="12"/>
            </w:r>
          </w:p>
        </w:tc>
      </w:tr>
      <w:tr w:rsidR="00AE245E" w:rsidRPr="00E73997" w:rsidTr="00D459EF"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E245E" w:rsidRPr="0099514A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E245E" w:rsidRPr="0099514A" w:rsidRDefault="00AE245E" w:rsidP="009428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2021</w:t>
            </w:r>
          </w:p>
        </w:tc>
      </w:tr>
      <w:tr w:rsidR="00AE245E" w:rsidRPr="00E73997" w:rsidTr="00D459EF"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45E" w:rsidRPr="002E7839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highlight w:val="yellow"/>
              </w:rPr>
            </w:pP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45E" w:rsidRPr="002E7839" w:rsidRDefault="00AE245E" w:rsidP="00D459EF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highlight w:val="yellow"/>
              </w:rPr>
            </w:pPr>
          </w:p>
        </w:tc>
      </w:tr>
    </w:tbl>
    <w:p w:rsidR="00E73997" w:rsidRDefault="00E73997" w:rsidP="00E73997">
      <w:pPr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</w:p>
    <w:p w:rsidR="00A86840" w:rsidRPr="00A86840" w:rsidRDefault="00A86840" w:rsidP="00A86840">
      <w:pPr>
        <w:spacing w:after="0" w:line="240" w:lineRule="auto"/>
        <w:rPr>
          <w:rFonts w:ascii="Times New Roman" w:eastAsia="Times New Roman" w:hAnsi="Times New Roman"/>
          <w:b/>
          <w:sz w:val="24"/>
          <w:szCs w:val="20"/>
          <w:u w:val="single"/>
        </w:rPr>
      </w:pPr>
      <w:r>
        <w:rPr>
          <w:rFonts w:ascii="Times New Roman" w:hAnsi="Times New Roman"/>
          <w:b/>
          <w:sz w:val="24"/>
          <w:szCs w:val="20"/>
          <w:u w:val="single"/>
        </w:rPr>
        <w:t>Ġentilment nitolbuk ukoll timla l-fajl excel ta’ sommarju anness, “</w:t>
      </w:r>
      <w:r w:rsidR="002A0F9A" w:rsidRPr="002A0F9A">
        <w:rPr>
          <w:rFonts w:ascii="Times New Roman" w:hAnsi="Times New Roman"/>
          <w:b/>
          <w:sz w:val="24"/>
          <w:szCs w:val="20"/>
          <w:u w:val="single"/>
        </w:rPr>
        <w:t>SGEI Framework 2020_2021</w:t>
      </w:r>
      <w:r>
        <w:rPr>
          <w:rFonts w:ascii="Times New Roman" w:hAnsi="Times New Roman"/>
          <w:b/>
          <w:sz w:val="24"/>
          <w:szCs w:val="20"/>
          <w:u w:val="single"/>
        </w:rPr>
        <w:t xml:space="preserve">”, bl-ammonti totali għal kull taqsima għall-Istat Membru sħiħ (mhux għal kull reġjun, awtorità lokali jew muniċipalità). </w:t>
      </w:r>
    </w:p>
    <w:p w:rsidR="00A86840" w:rsidRPr="00A64C24" w:rsidRDefault="00A86840" w:rsidP="00E73997">
      <w:pPr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val="ga-IE"/>
        </w:rPr>
      </w:pPr>
    </w:p>
    <w:p w:rsidR="00AE245E" w:rsidRPr="00E73997" w:rsidRDefault="00AE245E" w:rsidP="00A64C2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>Ilmenti minn partijiet terzi</w:t>
      </w:r>
    </w:p>
    <w:p w:rsidR="00AE245E" w:rsidRDefault="00AE245E" w:rsidP="00AE24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</w:p>
    <w:p w:rsidR="00AE245E" w:rsidRDefault="00AE245E" w:rsidP="00AE245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Ġentilment nitolbuk tipprovdi ħarsa ġenerali tal-ilmenti minn partijiet terzi, b’mod partikolari tilwim quddiem il-qrati nazzjonali, fir-rigward tal-miżuri fil-kamp ta’ applikazzjoni tad-Deċiżjoni dwar l-SGEIs tal-2012 jew tal-Qafas tal-SGEIs tal-2012. Ġentilment nitolbuk tkun speċifiku kemm jista’ jkun fit-tweġiba tiegħek u tinkludi s-settur li għalih irċevejt l-ilmenti, il-kontenut tal-ilmenti u s-segwitu possibbli mill-awtoritajiet tiegħek jew l-eżitu l-aktar probabbli mill-proċedimenti tal-qorti.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105BE" w:rsidTr="00A105BE">
        <w:tc>
          <w:tcPr>
            <w:tcW w:w="9288" w:type="dxa"/>
          </w:tcPr>
          <w:p w:rsidR="00A105BE" w:rsidRDefault="00A105BE" w:rsidP="00AE245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105BE" w:rsidRPr="00AE245E" w:rsidRDefault="00A105BE" w:rsidP="00AE245E">
      <w:pPr>
        <w:jc w:val="both"/>
        <w:rPr>
          <w:rFonts w:ascii="Times New Roman" w:hAnsi="Times New Roman"/>
          <w:sz w:val="24"/>
        </w:rPr>
      </w:pPr>
    </w:p>
    <w:p w:rsidR="00AE245E" w:rsidRPr="00E73997" w:rsidRDefault="00AE245E" w:rsidP="00AE24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</w:rPr>
      </w:pPr>
    </w:p>
    <w:p w:rsidR="00E73997" w:rsidRPr="00E73997" w:rsidRDefault="006B09A1" w:rsidP="00A64C24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eastAsia="Times New Roman" w:hAnsi="Times New Roman"/>
          <w:b/>
          <w:smallCaps/>
          <w:sz w:val="24"/>
          <w:szCs w:val="20"/>
        </w:rPr>
      </w:pPr>
      <w:r>
        <w:rPr>
          <w:rFonts w:ascii="Times New Roman" w:hAnsi="Times New Roman"/>
          <w:b/>
          <w:smallCaps/>
          <w:sz w:val="24"/>
          <w:szCs w:val="20"/>
        </w:rPr>
        <w:t>Mistoqsijiet mixxellanji</w:t>
      </w:r>
    </w:p>
    <w:p w:rsidR="00F378AD" w:rsidRPr="0099514A" w:rsidRDefault="00F378AD" w:rsidP="00E73997">
      <w:pPr>
        <w:spacing w:after="0" w:line="240" w:lineRule="auto"/>
        <w:ind w:left="360"/>
        <w:rPr>
          <w:rFonts w:ascii="Times New Roman" w:eastAsia="Times New Roman" w:hAnsi="Times New Roman"/>
          <w:b/>
          <w:smallCaps/>
          <w:sz w:val="28"/>
          <w:szCs w:val="20"/>
        </w:rPr>
      </w:pPr>
    </w:p>
    <w:p w:rsidR="00F378AD" w:rsidRPr="0099514A" w:rsidRDefault="00873C01" w:rsidP="0099514A">
      <w:pPr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Ġentilment nistednuk tindika jekk l-awtoritajiet tiegħek esperjenzawx diffikultajiet biex japplikaw id-Deċiżjoni dwar l-SGEIs tal-2012, u b’mod partikolari nitolbuk tqis il-kwistjonijiet li ġejjin:</w:t>
      </w:r>
    </w:p>
    <w:p w:rsidR="00A105BE" w:rsidRPr="00A105BE" w:rsidRDefault="00873C01" w:rsidP="00A105BE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it-tfassil tal-att tal-inkarigu li jikkonforma mal-Artikolu 4 tad-Deċiżjoni dwar l-SGEIs;</w:t>
      </w:r>
    </w:p>
    <w:p w:rsidR="00A105BE" w:rsidRPr="00A105BE" w:rsidRDefault="00873C01" w:rsidP="00A105BE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l-ispeċifikar tal-ammont ta’ kumpens f’konformità mal-Artikolu 5 tad-Deċiżjoni dwar l-SGEIs;</w:t>
      </w:r>
    </w:p>
    <w:p w:rsidR="00A105BE" w:rsidRPr="00A105BE" w:rsidRDefault="00873C01" w:rsidP="00A105BE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id-determinazzjoni tal-livell ta’ profitt raġonevoli skont l-Artikolu 5(5) sa (8) tad-Deċiżjoni dwar l-SGEIs;</w:t>
      </w:r>
    </w:p>
    <w:p w:rsidR="00873C01" w:rsidRPr="00A105BE" w:rsidRDefault="00873C01" w:rsidP="00A105BE">
      <w:pPr>
        <w:pStyle w:val="ListParagraph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il-verifika regolari tal-kumpens żejjed kif meħtieġ mill-Artikolu 6 tad-Deċiżjoni dwar l-SGEIs;</w:t>
      </w:r>
    </w:p>
    <w:p w:rsidR="00214CF6" w:rsidRDefault="00214CF6" w:rsidP="0099514A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Ġentilment nitolbuk tkun speċifiku kemm jista’ jkun fit-tweġiba tiegħek, tinkludi eżempji relevanti u, jekk applikabbli, is-settur li għalih id-diffikultajiet huma (l-aktar) relevanti.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28"/>
      </w:tblGrid>
      <w:tr w:rsidR="00A105BE" w:rsidTr="00A105BE">
        <w:tc>
          <w:tcPr>
            <w:tcW w:w="9288" w:type="dxa"/>
          </w:tcPr>
          <w:p w:rsidR="00A105BE" w:rsidRDefault="00A105BE" w:rsidP="00995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105BE" w:rsidRPr="0099514A" w:rsidRDefault="00A105BE" w:rsidP="0099514A">
      <w:pPr>
        <w:ind w:left="360"/>
        <w:jc w:val="both"/>
        <w:rPr>
          <w:rFonts w:ascii="Times New Roman" w:hAnsi="Times New Roman"/>
          <w:sz w:val="24"/>
        </w:rPr>
      </w:pPr>
    </w:p>
    <w:p w:rsidR="00873C01" w:rsidRPr="0099514A" w:rsidRDefault="00873C01" w:rsidP="00873C01">
      <w:pPr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Ġentilment nistednuk tindika jekk l-awtoritajiet tiegħek esperjenzawx diffikultajiet biex japplikaw il-Qafas tal-SGEIs tal-2012 u b’mod partikolari nitolbuk tqis il-kwistjonijiet li ġejjin:</w:t>
      </w:r>
    </w:p>
    <w:p w:rsidR="00A105BE" w:rsidRPr="00A105BE" w:rsidRDefault="00381F30" w:rsidP="00A105B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it-twettiq ta’ konsultazzjoni pubblika f’konformità mal-paragrafu 14 tal-Qafas tal-SGEIs;</w:t>
      </w:r>
    </w:p>
    <w:p w:rsidR="00A105BE" w:rsidRPr="00A105BE" w:rsidRDefault="00FE254F" w:rsidP="00A105B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il-konformità mar-regoli dwar l-akkwist pubbliku skont il-paragrafu 19 tal-Qafas tal-SGEIs;</w:t>
      </w:r>
    </w:p>
    <w:p w:rsidR="00A105BE" w:rsidRPr="00A105BE" w:rsidRDefault="00AC6987" w:rsidP="00A105B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id-determinazzjoni tal-ispejjeż netti evitati kif meħtieġ mill-paragrafi 25-27 tal-Qafas tal-SGEIs;</w:t>
      </w:r>
    </w:p>
    <w:p w:rsidR="00FE254F" w:rsidRPr="00A105BE" w:rsidRDefault="00FE254F" w:rsidP="00A105B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id-determinazzjoni tal-livell ta’ profitt raġonevoli skont il-paragrafi 33-38 tal-Qafas tal-SGEIs;</w:t>
      </w:r>
    </w:p>
    <w:p w:rsidR="00381F30" w:rsidRDefault="00214CF6" w:rsidP="0099514A">
      <w:pPr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Ġentilment nitolbuk tkun speċifiku kemm jista’ jkun fit-tweġiba tiegħek, tinkludi eżempji relevanti u, jekk applikabbli, is-settur li għalih id-diffikultajiet huma (l-aktar) relevanti.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28"/>
      </w:tblGrid>
      <w:tr w:rsidR="00A105BE" w:rsidTr="00A105BE">
        <w:tc>
          <w:tcPr>
            <w:tcW w:w="9288" w:type="dxa"/>
          </w:tcPr>
          <w:p w:rsidR="00A105BE" w:rsidRDefault="00A105BE" w:rsidP="0099514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105BE" w:rsidRPr="0099514A" w:rsidRDefault="00A105BE" w:rsidP="0099514A">
      <w:pPr>
        <w:ind w:left="360"/>
        <w:jc w:val="both"/>
        <w:rPr>
          <w:rFonts w:ascii="Times New Roman" w:hAnsi="Times New Roman"/>
          <w:sz w:val="24"/>
        </w:rPr>
      </w:pPr>
    </w:p>
    <w:p w:rsidR="00873C01" w:rsidRPr="0099514A" w:rsidRDefault="008666B4" w:rsidP="0099514A">
      <w:pPr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Jekk għandek xi kummenti oħra dwar l-applikazzjoni tad-Deċiżjoni dwar l-SGEIs u l-Qafas tal-SGEIs rigward kwistjonijiet għajr dawk koperti mill-mistoqsijiet preċedenti, inħeġġuk tipprovdihom hawn taħt.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105BE" w:rsidTr="00A105BE">
        <w:tc>
          <w:tcPr>
            <w:tcW w:w="9288" w:type="dxa"/>
          </w:tcPr>
          <w:p w:rsidR="00A105BE" w:rsidRDefault="00A105BE"/>
        </w:tc>
      </w:tr>
    </w:tbl>
    <w:p w:rsidR="00B804DF" w:rsidRDefault="00B804DF"/>
    <w:p w:rsidR="00D1475D" w:rsidRDefault="00D1475D"/>
    <w:p w:rsidR="00D1475D" w:rsidRDefault="00D1475D" w:rsidP="00D1475D">
      <w:pPr>
        <w:jc w:val="center"/>
      </w:pPr>
      <w:r>
        <w:t>_____________________</w:t>
      </w:r>
    </w:p>
    <w:sectPr w:rsidR="00D1475D" w:rsidSect="00DB16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8B8" w:rsidRDefault="009178B8" w:rsidP="00E73997">
      <w:pPr>
        <w:spacing w:after="0" w:line="240" w:lineRule="auto"/>
      </w:pPr>
      <w:r>
        <w:separator/>
      </w:r>
    </w:p>
  </w:endnote>
  <w:endnote w:type="continuationSeparator" w:id="0">
    <w:p w:rsidR="009178B8" w:rsidRDefault="009178B8" w:rsidP="00E7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C24" w:rsidRDefault="00A64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95C" w:rsidRDefault="007B595C" w:rsidP="0099514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407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4C7" w:rsidRDefault="00DE54C7" w:rsidP="00DE54C7">
    <w:pPr>
      <w:pStyle w:val="Footer"/>
      <w:rPr>
        <w:rFonts w:ascii="Times New Roman" w:hAnsi="Times New Roman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8B8" w:rsidRDefault="009178B8" w:rsidP="00E73997">
      <w:pPr>
        <w:spacing w:after="0" w:line="240" w:lineRule="auto"/>
      </w:pPr>
      <w:r>
        <w:separator/>
      </w:r>
    </w:p>
  </w:footnote>
  <w:footnote w:type="continuationSeparator" w:id="0">
    <w:p w:rsidR="009178B8" w:rsidRDefault="009178B8" w:rsidP="00E73997">
      <w:pPr>
        <w:spacing w:after="0" w:line="240" w:lineRule="auto"/>
      </w:pPr>
      <w:r>
        <w:continuationSeparator/>
      </w:r>
    </w:p>
  </w:footnote>
  <w:footnote w:id="1">
    <w:p w:rsidR="00E73997" w:rsidRPr="0099514A" w:rsidRDefault="00E73997" w:rsidP="0099514A">
      <w:pPr>
        <w:spacing w:after="0"/>
        <w:jc w:val="both"/>
        <w:rPr>
          <w:rFonts w:ascii="Times New Roman" w:hAnsi="Times New Roman"/>
          <w:sz w:val="20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Jekk f’ċertu settur jeżisti biss għadd żgħir ta’ SGEIs individwali fl-Istat Membru tiegħek, napprezzaw jekk tiddeskrivi dawn is-servizzi fid-dettall. </w:t>
      </w:r>
      <w:r>
        <w:rPr>
          <w:rFonts w:ascii="Times New Roman" w:hAnsi="Times New Roman"/>
          <w:b/>
          <w:sz w:val="20"/>
        </w:rPr>
        <w:t xml:space="preserve">Jekk f’settur speċifiku fl-Istat Membru tiegħek ikunu inkarigati għadd kbir ta’ servizzi (pereżempju, għaliex il-kompetenza taqa’ f’idejn l-awtoritajiet reġjonali jew lokali), ikun sproporzjonat li jingħataw id-dettalji individwali </w:t>
      </w:r>
      <w:r>
        <w:rPr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tal-inkarigi.</w:t>
      </w:r>
      <w:r>
        <w:rPr>
          <w:rFonts w:ascii="Times New Roman" w:hAnsi="Times New Roman"/>
          <w:sz w:val="20"/>
        </w:rPr>
        <w:t xml:space="preserve"> Iżda deskrizzjoni ġenerali ċara u konċiża tal-mod kif is-settur huwa organizzat, inkluż il-karatteristiċi komuni tal-inkarigi individwali, tibqa’ kruċjali.</w:t>
      </w:r>
    </w:p>
  </w:footnote>
  <w:footnote w:id="2">
    <w:p w:rsidR="00041849" w:rsidRPr="00762E99" w:rsidRDefault="00041849" w:rsidP="0099514A">
      <w:pPr>
        <w:pStyle w:val="FootnoteText"/>
        <w:spacing w:after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vertAlign w:val="superscript"/>
        </w:rPr>
        <w:footnoteRef/>
      </w:r>
      <w:r>
        <w:rPr>
          <w:rFonts w:ascii="Times New Roman" w:hAnsi="Times New Roman"/>
          <w:szCs w:val="22"/>
        </w:rPr>
        <w:t xml:space="preserve"> Kif stipulat fl-Artikolu 9(b) tad-Deċiżjoni dwar l-SGEIs tal-2012.</w:t>
      </w:r>
    </w:p>
  </w:footnote>
  <w:footnote w:id="3">
    <w:p w:rsidR="00041849" w:rsidRPr="00041849" w:rsidRDefault="00041849" w:rsidP="0099514A">
      <w:pPr>
        <w:pStyle w:val="FootnoteText"/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>Jekk l-ammont tal-għajnuna ma jistax jinqasam fost l-awtoritajiet ċentrali, reġjonali u lokali, jenħtieġ li l-ammont totali tal-għajnuna mogħtija għall-awtoritajiet kollha biss jiġi rrapportat.</w:t>
      </w:r>
    </w:p>
  </w:footnote>
  <w:footnote w:id="4">
    <w:p w:rsidR="00041849" w:rsidRPr="00041849" w:rsidRDefault="00041849" w:rsidP="0099514A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>Ara n-nota f’qiegħ il-paġna</w:t>
      </w:r>
      <w:r>
        <w:rPr>
          <w:rFonts w:ascii="Times New Roman" w:hAnsi="Times New Roman"/>
          <w:szCs w:val="22"/>
        </w:rPr>
        <w:fldChar w:fldCharType="begin"/>
      </w:r>
      <w:r>
        <w:rPr>
          <w:rFonts w:ascii="Times New Roman" w:hAnsi="Times New Roman"/>
          <w:szCs w:val="22"/>
        </w:rPr>
        <w:instrText xml:space="preserve"> NOTEREF _Ref443469630 \h </w:instrTex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7</w:t>
      </w:r>
      <w:r>
        <w:rPr>
          <w:rFonts w:ascii="Times New Roman" w:hAnsi="Times New Roman"/>
          <w:szCs w:val="22"/>
        </w:rPr>
        <w:fldChar w:fldCharType="end"/>
      </w:r>
      <w:r>
        <w:rPr>
          <w:rFonts w:ascii="Times New Roman" w:hAnsi="Times New Roman"/>
          <w:szCs w:val="22"/>
        </w:rPr>
        <w:t>.</w:t>
      </w:r>
    </w:p>
  </w:footnote>
  <w:footnote w:id="5">
    <w:p w:rsidR="00041849" w:rsidRPr="00041849" w:rsidRDefault="00041849" w:rsidP="0099514A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>Ara n-nota f’qiegħ il-paġna</w:t>
      </w:r>
      <w:r>
        <w:rPr>
          <w:rFonts w:ascii="Times New Roman" w:hAnsi="Times New Roman"/>
          <w:szCs w:val="22"/>
        </w:rPr>
        <w:fldChar w:fldCharType="begin"/>
      </w:r>
      <w:r>
        <w:rPr>
          <w:rFonts w:ascii="Times New Roman" w:hAnsi="Times New Roman"/>
          <w:szCs w:val="22"/>
        </w:rPr>
        <w:instrText xml:space="preserve"> NOTEREF _Ref443469630 \h </w:instrTex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7</w:t>
      </w:r>
      <w:r>
        <w:rPr>
          <w:rFonts w:ascii="Times New Roman" w:hAnsi="Times New Roman"/>
          <w:szCs w:val="22"/>
        </w:rPr>
        <w:fldChar w:fldCharType="end"/>
      </w:r>
      <w:r>
        <w:rPr>
          <w:rFonts w:ascii="Times New Roman" w:hAnsi="Times New Roman"/>
          <w:szCs w:val="22"/>
        </w:rPr>
        <w:t>.</w:t>
      </w:r>
    </w:p>
  </w:footnote>
  <w:footnote w:id="6">
    <w:p w:rsidR="002E7839" w:rsidRPr="00D00D6A" w:rsidRDefault="002E7839" w:rsidP="0099514A">
      <w:pPr>
        <w:pStyle w:val="FootnoteText"/>
        <w:spacing w:after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vertAlign w:val="superscript"/>
        </w:rPr>
        <w:footnoteRef/>
      </w:r>
      <w:r>
        <w:rPr>
          <w:rFonts w:ascii="Times New Roman" w:hAnsi="Times New Roman"/>
          <w:szCs w:val="22"/>
        </w:rPr>
        <w:t xml:space="preserve"> Il-Kummissjoni tilqa’ kull </w:t>
      </w:r>
      <w:r>
        <w:rPr>
          <w:rFonts w:ascii="Times New Roman" w:hAnsi="Times New Roman"/>
          <w:i/>
          <w:iCs/>
          <w:szCs w:val="22"/>
        </w:rPr>
        <w:t>data</w:t>
      </w:r>
      <w:r>
        <w:rPr>
          <w:rFonts w:ascii="Times New Roman" w:hAnsi="Times New Roman"/>
          <w:szCs w:val="22"/>
        </w:rPr>
        <w:t xml:space="preserve"> li inti jista’ jkollok dwar l-għajnuna li ngħatat skont il-Qafas tal-SGEIs tal-2012, pereżempju l-għadd ta’ benefiċjarji għal kull settur, l-ammont medju tal-għajnuna, l-ammont għal kull strument tal-għajnuna, id-daqs tal-impriżi, eċċ. Jekk tali </w:t>
      </w:r>
      <w:r>
        <w:rPr>
          <w:rFonts w:ascii="Times New Roman" w:hAnsi="Times New Roman"/>
          <w:i/>
          <w:iCs/>
          <w:szCs w:val="22"/>
        </w:rPr>
        <w:t>data</w:t>
      </w:r>
      <w:r>
        <w:rPr>
          <w:rFonts w:ascii="Times New Roman" w:hAnsi="Times New Roman"/>
          <w:szCs w:val="22"/>
        </w:rPr>
        <w:t xml:space="preserve"> dwar informazzjoni kwantitattiva oħra mhix faċilment disponibbli fl-Istat Membru tiegħek, naturalment tista’ tippreżentaha b’mod aktar aggregat u/jew bħala stima. F’dan il-każ, ġentilment nitolbuk tindika l-istimi li ntużaw kif ukoll x’tip ta’ aggregazzjoni saret.</w:t>
      </w:r>
    </w:p>
  </w:footnote>
  <w:footnote w:id="7">
    <w:p w:rsidR="007B595C" w:rsidRPr="0099514A" w:rsidRDefault="007B595C" w:rsidP="007B595C">
      <w:pPr>
        <w:jc w:val="both"/>
        <w:rPr>
          <w:rFonts w:ascii="Times New Roman" w:hAnsi="Times New Roman"/>
          <w:sz w:val="20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>Jekk f’ċertu settur jeżisti biss għadd żgħir ta’ SGEIs individwali fl-Istat Membru tiegħek, napprezzaw jekk tiddeskrivi dawn is-servizzi fid-dettall. Jekk  f’settur speċifiku fl-Istat Membru tiegħek ikunu inkarigati għadd kbir ta’ servizzi (pereżempju għaliex il-kompetenza taqa’ f’idejn l-awtoritajiet reġjonali jew lokali), ikun sproporzjonat li jingħataw id-dettalji individwali</w:t>
      </w:r>
      <w:r>
        <w:rPr>
          <w:sz w:val="20"/>
        </w:rPr>
        <w:t xml:space="preserve"> </w:t>
      </w:r>
      <w:r>
        <w:rPr>
          <w:rFonts w:ascii="Times New Roman" w:hAnsi="Times New Roman"/>
          <w:sz w:val="20"/>
        </w:rPr>
        <w:t>tal-inkarigi. Iżda deskrizzjoni ġenerali ċara u konċiża tal-mod kif is-settur huwa organizzat, inkluż il-karatteristiċi komuni tal-inkarigi individwali, tibqa’ kruċjali.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</w:rPr>
        <w:t>Peress li l-każijiet li jaqgħu taħt il-Qafas tal-SGEIs se jkunu limitati fin-numru, il-Kummissjoni tistenna deskrizzjoni dettaljata ta’ kull miżura konkreta.</w:t>
      </w:r>
    </w:p>
  </w:footnote>
  <w:footnote w:id="8">
    <w:p w:rsidR="00AE245E" w:rsidRPr="00762E99" w:rsidRDefault="00AE245E" w:rsidP="00AE245E">
      <w:pPr>
        <w:pStyle w:val="FootnoteText"/>
        <w:spacing w:after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vertAlign w:val="superscript"/>
        </w:rPr>
        <w:footnoteRef/>
      </w:r>
      <w:r>
        <w:rPr>
          <w:rFonts w:ascii="Times New Roman" w:hAnsi="Times New Roman"/>
          <w:szCs w:val="22"/>
        </w:rPr>
        <w:t xml:space="preserve"> Kif stipulat fil-Paragrafu 62(b) tal-Qafas tal-SGEIs tal-2012.</w:t>
      </w:r>
    </w:p>
  </w:footnote>
  <w:footnote w:id="9">
    <w:p w:rsidR="00AE245E" w:rsidRPr="00041849" w:rsidRDefault="00AE245E" w:rsidP="00AE245E">
      <w:pPr>
        <w:pStyle w:val="FootnoteText"/>
        <w:spacing w:after="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>Jekk l-ammont tal-għajnuna ma jistax jinqasam fost l-awtoritajiet ċentrali, reġjonali u lokali, jenħtieġ li l-ammont totali tal-għajnuna mogħtija għall-awtoritajiet kollha biss jiġi rrapportat.</w:t>
      </w:r>
    </w:p>
  </w:footnote>
  <w:footnote w:id="10">
    <w:p w:rsidR="00AE245E" w:rsidRPr="00041849" w:rsidRDefault="00AE245E" w:rsidP="00AE245E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 xml:space="preserve">Ara n-nota f’qiegħ il-paġna </w:t>
      </w:r>
      <w:r>
        <w:rPr>
          <w:rFonts w:ascii="Times New Roman" w:hAnsi="Times New Roman"/>
          <w:szCs w:val="22"/>
        </w:rPr>
        <w:fldChar w:fldCharType="begin"/>
      </w:r>
      <w:r>
        <w:rPr>
          <w:rFonts w:ascii="Times New Roman" w:hAnsi="Times New Roman"/>
          <w:szCs w:val="22"/>
        </w:rPr>
        <w:instrText xml:space="preserve"> NOTEREF _Ref443469914 \h </w:instrTex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13</w:t>
      </w:r>
      <w:r>
        <w:rPr>
          <w:rFonts w:ascii="Times New Roman" w:hAnsi="Times New Roman"/>
          <w:szCs w:val="22"/>
        </w:rPr>
        <w:fldChar w:fldCharType="end"/>
      </w:r>
      <w:r>
        <w:rPr>
          <w:rFonts w:ascii="Times New Roman" w:hAnsi="Times New Roman"/>
          <w:szCs w:val="22"/>
        </w:rPr>
        <w:t>.</w:t>
      </w:r>
    </w:p>
  </w:footnote>
  <w:footnote w:id="11">
    <w:p w:rsidR="00AE245E" w:rsidRPr="00041849" w:rsidRDefault="00AE245E" w:rsidP="00AE245E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szCs w:val="22"/>
        </w:rPr>
        <w:t xml:space="preserve">Ara n-nota f’qiegħ il-paġna </w:t>
      </w:r>
      <w:r>
        <w:rPr>
          <w:rFonts w:ascii="Times New Roman" w:hAnsi="Times New Roman"/>
          <w:szCs w:val="22"/>
        </w:rPr>
        <w:fldChar w:fldCharType="begin"/>
      </w:r>
      <w:r>
        <w:rPr>
          <w:rFonts w:ascii="Times New Roman" w:hAnsi="Times New Roman"/>
          <w:szCs w:val="22"/>
        </w:rPr>
        <w:instrText xml:space="preserve"> NOTEREF _Ref443469914 \h </w:instrText>
      </w:r>
      <w:r>
        <w:rPr>
          <w:rFonts w:ascii="Times New Roman" w:hAnsi="Times New Roman"/>
          <w:szCs w:val="22"/>
        </w:rPr>
      </w:r>
      <w:r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13</w:t>
      </w:r>
      <w:r>
        <w:rPr>
          <w:rFonts w:ascii="Times New Roman" w:hAnsi="Times New Roman"/>
          <w:szCs w:val="22"/>
        </w:rPr>
        <w:fldChar w:fldCharType="end"/>
      </w:r>
      <w:r>
        <w:rPr>
          <w:rFonts w:ascii="Times New Roman" w:hAnsi="Times New Roman"/>
          <w:szCs w:val="22"/>
        </w:rPr>
        <w:t>.</w:t>
      </w:r>
    </w:p>
  </w:footnote>
  <w:footnote w:id="12">
    <w:p w:rsidR="00AE245E" w:rsidRPr="00D00D6A" w:rsidRDefault="00AE245E" w:rsidP="00AE245E">
      <w:pPr>
        <w:pStyle w:val="FootnoteText"/>
        <w:spacing w:after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vertAlign w:val="superscript"/>
        </w:rPr>
        <w:footnoteRef/>
      </w:r>
      <w:r>
        <w:rPr>
          <w:rFonts w:ascii="Times New Roman" w:hAnsi="Times New Roman"/>
          <w:szCs w:val="22"/>
        </w:rPr>
        <w:t xml:space="preserve"> Il-Kummissjoni tilqa’ kull </w:t>
      </w:r>
      <w:r>
        <w:rPr>
          <w:rFonts w:ascii="Times New Roman" w:hAnsi="Times New Roman"/>
          <w:i/>
          <w:iCs/>
          <w:szCs w:val="22"/>
        </w:rPr>
        <w:t>data</w:t>
      </w:r>
      <w:r>
        <w:rPr>
          <w:rFonts w:ascii="Times New Roman" w:hAnsi="Times New Roman"/>
          <w:szCs w:val="22"/>
        </w:rPr>
        <w:t xml:space="preserve"> li inti jista’ jkollok dwar l-għajnuna li ngħatat skont il-Qafas tal-SGEIs tal-2012, pereżempju l-għadd ta’ benefiċjarji għal kull settur, l-ammont medju tal-għajnuna, l-ammont għal kull strument tal-għajnuna, id-daqs tal-impriżi, eċċ. Jekk tali </w:t>
      </w:r>
      <w:r>
        <w:rPr>
          <w:rFonts w:ascii="Times New Roman" w:hAnsi="Times New Roman"/>
          <w:i/>
          <w:iCs/>
          <w:szCs w:val="22"/>
        </w:rPr>
        <w:t>data</w:t>
      </w:r>
      <w:r>
        <w:rPr>
          <w:rFonts w:ascii="Times New Roman" w:hAnsi="Times New Roman"/>
          <w:szCs w:val="22"/>
        </w:rPr>
        <w:t xml:space="preserve"> dwar informazzjoni kwantitattiva oħra mhix faċilment disponibbli fl-Istat Membru tiegħek, naturalment tista’ tippreżentaha b’mod aktar aggregat u/jew bħala stima. F’dan il-każ, ġentilment nitolbuk tindika l-istimi li ntużaw kif ukoll x’tip ta’ aggregazzjoni saret.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C24" w:rsidRDefault="00A64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C24" w:rsidRDefault="00A64C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C24" w:rsidRDefault="00A64C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570B5"/>
    <w:multiLevelType w:val="multilevel"/>
    <w:tmpl w:val="3072F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9FB4C99"/>
    <w:multiLevelType w:val="hybridMultilevel"/>
    <w:tmpl w:val="CD96A7D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4090019">
      <w:start w:val="1"/>
      <w:numFmt w:val="lowerLetter"/>
      <w:lvlText w:val="%6."/>
      <w:lvlJc w:val="lef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109C1"/>
    <w:multiLevelType w:val="multilevel"/>
    <w:tmpl w:val="AB1E4D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9C631BA"/>
    <w:multiLevelType w:val="multilevel"/>
    <w:tmpl w:val="C608B2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3DC0B66"/>
    <w:multiLevelType w:val="hybridMultilevel"/>
    <w:tmpl w:val="E960CC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73D90"/>
    <w:multiLevelType w:val="hybridMultilevel"/>
    <w:tmpl w:val="1696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796FD3"/>
    <w:multiLevelType w:val="hybridMultilevel"/>
    <w:tmpl w:val="933CCE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8" w15:restartNumberingAfterBreak="0">
    <w:nsid w:val="61972415"/>
    <w:multiLevelType w:val="hybridMultilevel"/>
    <w:tmpl w:val="ED7669B8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E32E62"/>
    <w:multiLevelType w:val="multilevel"/>
    <w:tmpl w:val="C608B2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FCB73A2"/>
    <w:multiLevelType w:val="hybridMultilevel"/>
    <w:tmpl w:val="E19C9F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fr-BE" w:vendorID="64" w:dllVersion="131078" w:nlCheck="1" w:checkStyle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73997"/>
    <w:rsid w:val="0000152F"/>
    <w:rsid w:val="0000502A"/>
    <w:rsid w:val="00034502"/>
    <w:rsid w:val="00037F96"/>
    <w:rsid w:val="00041849"/>
    <w:rsid w:val="0005745D"/>
    <w:rsid w:val="0009101F"/>
    <w:rsid w:val="00101854"/>
    <w:rsid w:val="001451F9"/>
    <w:rsid w:val="00146224"/>
    <w:rsid w:val="00146A28"/>
    <w:rsid w:val="001C3CBF"/>
    <w:rsid w:val="001E53C2"/>
    <w:rsid w:val="001F14E5"/>
    <w:rsid w:val="001F16FB"/>
    <w:rsid w:val="0021276A"/>
    <w:rsid w:val="00214CF6"/>
    <w:rsid w:val="00230487"/>
    <w:rsid w:val="0023393C"/>
    <w:rsid w:val="002439CC"/>
    <w:rsid w:val="00265407"/>
    <w:rsid w:val="0028684D"/>
    <w:rsid w:val="002A0F9A"/>
    <w:rsid w:val="002B0456"/>
    <w:rsid w:val="002E7839"/>
    <w:rsid w:val="00310C86"/>
    <w:rsid w:val="00355406"/>
    <w:rsid w:val="0036778A"/>
    <w:rsid w:val="003677DD"/>
    <w:rsid w:val="00381F30"/>
    <w:rsid w:val="003D5FEE"/>
    <w:rsid w:val="00440DB7"/>
    <w:rsid w:val="00473CC2"/>
    <w:rsid w:val="00495F39"/>
    <w:rsid w:val="004B0AB5"/>
    <w:rsid w:val="004D0295"/>
    <w:rsid w:val="004D2E20"/>
    <w:rsid w:val="004D700A"/>
    <w:rsid w:val="004F02C6"/>
    <w:rsid w:val="005135C9"/>
    <w:rsid w:val="00582A39"/>
    <w:rsid w:val="005845B6"/>
    <w:rsid w:val="00584F75"/>
    <w:rsid w:val="00597822"/>
    <w:rsid w:val="005C0B70"/>
    <w:rsid w:val="005C3285"/>
    <w:rsid w:val="005E7FA5"/>
    <w:rsid w:val="005F61A4"/>
    <w:rsid w:val="00633490"/>
    <w:rsid w:val="00633CA5"/>
    <w:rsid w:val="0063774B"/>
    <w:rsid w:val="00676B62"/>
    <w:rsid w:val="006B09A1"/>
    <w:rsid w:val="006C5F06"/>
    <w:rsid w:val="006D5AC9"/>
    <w:rsid w:val="006D5E2F"/>
    <w:rsid w:val="007209E8"/>
    <w:rsid w:val="007616EE"/>
    <w:rsid w:val="00765398"/>
    <w:rsid w:val="007A673A"/>
    <w:rsid w:val="007B595C"/>
    <w:rsid w:val="007C2D57"/>
    <w:rsid w:val="007C3531"/>
    <w:rsid w:val="007C74A5"/>
    <w:rsid w:val="007F7564"/>
    <w:rsid w:val="00811C30"/>
    <w:rsid w:val="008666B4"/>
    <w:rsid w:val="00873C01"/>
    <w:rsid w:val="00886A9D"/>
    <w:rsid w:val="00891D2D"/>
    <w:rsid w:val="008A31D0"/>
    <w:rsid w:val="008B0473"/>
    <w:rsid w:val="008C33F4"/>
    <w:rsid w:val="008D0B47"/>
    <w:rsid w:val="008D1AC7"/>
    <w:rsid w:val="008D4622"/>
    <w:rsid w:val="008F7948"/>
    <w:rsid w:val="009178B8"/>
    <w:rsid w:val="0092449B"/>
    <w:rsid w:val="009428CD"/>
    <w:rsid w:val="0099514A"/>
    <w:rsid w:val="009B6258"/>
    <w:rsid w:val="00A100A2"/>
    <w:rsid w:val="00A105BE"/>
    <w:rsid w:val="00A447CD"/>
    <w:rsid w:val="00A64C24"/>
    <w:rsid w:val="00A817BA"/>
    <w:rsid w:val="00A85DF0"/>
    <w:rsid w:val="00A86840"/>
    <w:rsid w:val="00AC6987"/>
    <w:rsid w:val="00AE0275"/>
    <w:rsid w:val="00AE245E"/>
    <w:rsid w:val="00AF050E"/>
    <w:rsid w:val="00B120CF"/>
    <w:rsid w:val="00B5261D"/>
    <w:rsid w:val="00B603E2"/>
    <w:rsid w:val="00B7168C"/>
    <w:rsid w:val="00B76EA8"/>
    <w:rsid w:val="00B804DF"/>
    <w:rsid w:val="00BB301B"/>
    <w:rsid w:val="00BD45EF"/>
    <w:rsid w:val="00C2217C"/>
    <w:rsid w:val="00C32A1F"/>
    <w:rsid w:val="00CE1BF6"/>
    <w:rsid w:val="00D075B8"/>
    <w:rsid w:val="00D1475D"/>
    <w:rsid w:val="00D262DF"/>
    <w:rsid w:val="00D459EF"/>
    <w:rsid w:val="00D63F83"/>
    <w:rsid w:val="00DB165F"/>
    <w:rsid w:val="00DE54C7"/>
    <w:rsid w:val="00DF7170"/>
    <w:rsid w:val="00E02669"/>
    <w:rsid w:val="00E171A3"/>
    <w:rsid w:val="00E308F4"/>
    <w:rsid w:val="00E65722"/>
    <w:rsid w:val="00E73997"/>
    <w:rsid w:val="00E8111F"/>
    <w:rsid w:val="00EA4EB6"/>
    <w:rsid w:val="00EC1D75"/>
    <w:rsid w:val="00EC5375"/>
    <w:rsid w:val="00F05DC0"/>
    <w:rsid w:val="00F154FD"/>
    <w:rsid w:val="00F378AD"/>
    <w:rsid w:val="00F41456"/>
    <w:rsid w:val="00F57820"/>
    <w:rsid w:val="00FA4AF9"/>
    <w:rsid w:val="00FB0588"/>
    <w:rsid w:val="00FE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75D40BC"/>
  <w15:docId w15:val="{0DA65ACD-A0E2-4043-9454-DC69C875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mt-MT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"/>
    <w:basedOn w:val="Normal"/>
    <w:link w:val="FootnoteTextChar"/>
    <w:semiHidden/>
    <w:unhideWhenUsed/>
    <w:rsid w:val="00E73997"/>
    <w:rPr>
      <w:sz w:val="20"/>
      <w:szCs w:val="20"/>
    </w:rPr>
  </w:style>
  <w:style w:type="character" w:customStyle="1" w:styleId="FootnoteTextChar">
    <w:name w:val="Footnote Text Char"/>
    <w:aliases w:val="Footnote text Char"/>
    <w:link w:val="FootnoteText"/>
    <w:rsid w:val="00E73997"/>
    <w:rPr>
      <w:lang w:eastAsia="en-US"/>
    </w:rPr>
  </w:style>
  <w:style w:type="paragraph" w:styleId="ListParagraph">
    <w:name w:val="List Paragraph"/>
    <w:basedOn w:val="Normal"/>
    <w:uiPriority w:val="34"/>
    <w:qFormat/>
    <w:rsid w:val="00E73997"/>
    <w:pPr>
      <w:ind w:left="720"/>
    </w:pPr>
  </w:style>
  <w:style w:type="paragraph" w:styleId="CommentText">
    <w:name w:val="annotation text"/>
    <w:basedOn w:val="Normal"/>
    <w:link w:val="CommentTextChar"/>
    <w:semiHidden/>
    <w:rsid w:val="00E73997"/>
    <w:pPr>
      <w:spacing w:after="24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link w:val="CommentText"/>
    <w:semiHidden/>
    <w:rsid w:val="00E73997"/>
    <w:rPr>
      <w:rFonts w:ascii="Times New Roman" w:eastAsia="Times New Roman" w:hAnsi="Times New Roman"/>
      <w:lang w:eastAsia="en-US"/>
    </w:rPr>
  </w:style>
  <w:style w:type="character" w:styleId="FootnoteReference">
    <w:name w:val="footnote reference"/>
    <w:aliases w:val="Footnote"/>
    <w:semiHidden/>
    <w:rsid w:val="00E73997"/>
    <w:rPr>
      <w:vertAlign w:val="superscript"/>
    </w:rPr>
  </w:style>
  <w:style w:type="character" w:styleId="CommentReference">
    <w:name w:val="annotation reference"/>
    <w:rsid w:val="00E7399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3997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D5E2F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EB6"/>
    <w:pPr>
      <w:spacing w:after="200" w:line="276" w:lineRule="auto"/>
      <w:jc w:val="left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EB6"/>
    <w:rPr>
      <w:rFonts w:ascii="Times New Roman" w:eastAsia="Times New Roman" w:hAnsi="Times New Roman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B59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B595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59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B595C"/>
    <w:rPr>
      <w:sz w:val="22"/>
      <w:szCs w:val="22"/>
      <w:lang w:eastAsia="en-US"/>
    </w:rPr>
  </w:style>
  <w:style w:type="paragraph" w:customStyle="1" w:styleId="Text1">
    <w:name w:val="Text 1"/>
    <w:basedOn w:val="Normal"/>
    <w:rsid w:val="00584F75"/>
    <w:pPr>
      <w:spacing w:after="240" w:line="240" w:lineRule="auto"/>
      <w:ind w:left="482"/>
      <w:jc w:val="both"/>
    </w:pPr>
    <w:rPr>
      <w:rFonts w:ascii="Times New Roman" w:eastAsia="Times New Roman" w:hAnsi="Times New Roman"/>
      <w:sz w:val="24"/>
      <w:szCs w:val="20"/>
    </w:rPr>
  </w:style>
  <w:style w:type="paragraph" w:styleId="Date">
    <w:name w:val="Date"/>
    <w:basedOn w:val="Normal"/>
    <w:next w:val="References"/>
    <w:link w:val="DateChar"/>
    <w:rsid w:val="00584F75"/>
    <w:pPr>
      <w:spacing w:after="0" w:line="240" w:lineRule="auto"/>
      <w:ind w:left="5103" w:right="-567"/>
    </w:pPr>
    <w:rPr>
      <w:rFonts w:ascii="Times New Roman" w:eastAsia="Times New Roman" w:hAnsi="Times New Roman"/>
      <w:sz w:val="24"/>
      <w:szCs w:val="20"/>
    </w:rPr>
  </w:style>
  <w:style w:type="character" w:customStyle="1" w:styleId="DateChar">
    <w:name w:val="Date Char"/>
    <w:link w:val="Date"/>
    <w:rsid w:val="00584F75"/>
    <w:rPr>
      <w:rFonts w:ascii="Times New Roman" w:eastAsia="Times New Roman" w:hAnsi="Times New Roman"/>
      <w:sz w:val="24"/>
      <w:lang w:eastAsia="en-US"/>
    </w:rPr>
  </w:style>
  <w:style w:type="paragraph" w:customStyle="1" w:styleId="References">
    <w:name w:val="References"/>
    <w:basedOn w:val="Normal"/>
    <w:next w:val="Normal"/>
    <w:rsid w:val="00584F75"/>
    <w:pPr>
      <w:spacing w:after="240" w:line="240" w:lineRule="auto"/>
      <w:ind w:left="5103"/>
    </w:pPr>
    <w:rPr>
      <w:rFonts w:ascii="Times New Roman" w:eastAsia="Times New Roman" w:hAnsi="Times New Roman"/>
      <w:sz w:val="20"/>
      <w:szCs w:val="20"/>
    </w:rPr>
  </w:style>
  <w:style w:type="paragraph" w:styleId="ListBullet">
    <w:name w:val="List Bullet"/>
    <w:basedOn w:val="Normal"/>
    <w:rsid w:val="00584F75"/>
    <w:pPr>
      <w:numPr>
        <w:numId w:val="8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ubject">
    <w:name w:val="Subject"/>
    <w:basedOn w:val="Normal"/>
    <w:next w:val="Normal"/>
    <w:rsid w:val="00584F75"/>
    <w:pPr>
      <w:spacing w:after="480" w:line="240" w:lineRule="auto"/>
      <w:ind w:left="1531" w:hanging="1531"/>
    </w:pPr>
    <w:rPr>
      <w:rFonts w:ascii="Times New Roman" w:eastAsia="Times New Roman" w:hAnsi="Times New Roman"/>
      <w:b/>
      <w:sz w:val="24"/>
      <w:szCs w:val="20"/>
    </w:rPr>
  </w:style>
  <w:style w:type="paragraph" w:customStyle="1" w:styleId="ZCom">
    <w:name w:val="Z_Com"/>
    <w:basedOn w:val="Normal"/>
    <w:next w:val="ZDGName"/>
    <w:uiPriority w:val="99"/>
    <w:rsid w:val="00584F75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ZDGName">
    <w:name w:val="Z_DGName"/>
    <w:basedOn w:val="Normal"/>
    <w:uiPriority w:val="99"/>
    <w:rsid w:val="00584F75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eastAsia="en-GB"/>
    </w:rPr>
  </w:style>
  <w:style w:type="character" w:styleId="Hyperlink">
    <w:name w:val="Hyperlink"/>
    <w:rsid w:val="00584F75"/>
    <w:rPr>
      <w:color w:val="0000FF"/>
      <w:u w:val="single"/>
    </w:rPr>
  </w:style>
  <w:style w:type="table" w:styleId="TableGrid">
    <w:name w:val="Table Grid"/>
    <w:basedOn w:val="TableNormal"/>
    <w:uiPriority w:val="59"/>
    <w:rsid w:val="00A10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29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44DF2-C1C3-4D19-BF73-19BCD457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1498</Words>
  <Characters>10626</Characters>
  <Application>Microsoft Office Word</Application>
  <DocSecurity>0</DocSecurity>
  <Lines>295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11988</CharactersWithSpaces>
  <SharedDoc>false</SharedDoc>
  <HLinks>
    <vt:vector size="18" baseType="variant">
      <vt:variant>
        <vt:i4>6226021</vt:i4>
      </vt:variant>
      <vt:variant>
        <vt:i4>3</vt:i4>
      </vt:variant>
      <vt:variant>
        <vt:i4>0</vt:i4>
      </vt:variant>
      <vt:variant>
        <vt:i4>5</vt:i4>
      </vt:variant>
      <vt:variant>
        <vt:lpwstr>mailto:Tsanko.TSANKOV@ec.europa.eu</vt:lpwstr>
      </vt:variant>
      <vt:variant>
        <vt:lpwstr/>
      </vt:variant>
      <vt:variant>
        <vt:i4>7471193</vt:i4>
      </vt:variant>
      <vt:variant>
        <vt:i4>0</vt:i4>
      </vt:variant>
      <vt:variant>
        <vt:i4>0</vt:i4>
      </vt:variant>
      <vt:variant>
        <vt:i4>5</vt:i4>
      </vt:variant>
      <vt:variant>
        <vt:lpwstr>mailto:Bob.BULTHUIS@ec.europa.eu</vt:lpwstr>
      </vt:variant>
      <vt:variant>
        <vt:lpwstr/>
      </vt:variant>
      <vt:variant>
        <vt:i4>1310758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http://ec.europa.eu/competition/state_aid/overview/public_services_en.html</vt:lpwstr>
      </vt:variant>
      <vt:variant>
        <vt:lpwstr>package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GAUCLERE Manon (COMP)</dc:creator>
  <cp:lastModifiedBy>DENINA Elena (COMP)</cp:lastModifiedBy>
  <cp:revision>11</cp:revision>
  <cp:lastPrinted>2020-01-29T14:09:00Z</cp:lastPrinted>
  <dcterms:created xsi:type="dcterms:W3CDTF">2021-10-20T13:16:00Z</dcterms:created>
  <dcterms:modified xsi:type="dcterms:W3CDTF">2021-11-22T14:22:00Z</dcterms:modified>
</cp:coreProperties>
</file>